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E" w:rsidRPr="006F71A7" w:rsidRDefault="00D07D7E" w:rsidP="00D07D7E">
      <w:pPr>
        <w:spacing w:before="120" w:after="120" w:line="320" w:lineRule="exact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Thủ tục </w:t>
      </w:r>
      <w:r w:rsidRPr="006F71A7">
        <w:rPr>
          <w:b/>
          <w:color w:val="3F3F3F"/>
          <w:sz w:val="26"/>
          <w:szCs w:val="26"/>
        </w:rPr>
        <w:t>công bố đưa trạm dừng nghỉ vào khai thác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 Trình tự thực hiện:</w:t>
      </w:r>
    </w:p>
    <w:p w:rsidR="00D07D7E" w:rsidRPr="006F71A7" w:rsidRDefault="00D07D7E" w:rsidP="00D07D7E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1: Tổ chức</w:t>
      </w:r>
      <w:r>
        <w:rPr>
          <w:rFonts w:eastAsia="Batang"/>
          <w:sz w:val="26"/>
          <w:szCs w:val="26"/>
          <w:lang w:val="nl-NL" w:eastAsia="ko-KR"/>
        </w:rPr>
        <w:t>, cá nhân</w:t>
      </w:r>
      <w:r w:rsidRPr="006F71A7">
        <w:rPr>
          <w:rFonts w:eastAsia="Batang"/>
          <w:sz w:val="26"/>
          <w:szCs w:val="26"/>
          <w:lang w:val="nl-NL" w:eastAsia="ko-KR"/>
        </w:rPr>
        <w:t xml:space="preserve">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eastAsia="ko-KR"/>
        </w:rPr>
        <w:t>tại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>
        <w:rPr>
          <w:rFonts w:eastAsia="Batang"/>
          <w:sz w:val="26"/>
          <w:szCs w:val="26"/>
          <w:lang w:eastAsia="ko-KR"/>
        </w:rPr>
        <w:t>Trung tâm hành chính công tỉnh Hà Nam số 7, đường Trần Phú, thành phố Phủ Lý</w:t>
      </w:r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D07D7E" w:rsidRPr="006F71A7" w:rsidRDefault="00D07D7E" w:rsidP="00D07D7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D07D7E" w:rsidRPr="006F71A7" w:rsidRDefault="00D07D7E" w:rsidP="00D07D7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D07D7E" w:rsidRDefault="00D07D7E" w:rsidP="00D07D7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D07D7E" w:rsidRDefault="00D07D7E" w:rsidP="00D07D7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D07D7E" w:rsidRPr="006F71A7" w:rsidRDefault="00D07D7E" w:rsidP="00D07D7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D07D7E" w:rsidRDefault="00D07D7E" w:rsidP="00D07D7E">
      <w:pPr>
        <w:spacing w:before="40" w:after="40"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tại </w:t>
      </w:r>
      <w:r>
        <w:rPr>
          <w:rFonts w:eastAsia="Batang"/>
          <w:sz w:val="26"/>
          <w:szCs w:val="26"/>
          <w:lang w:val="nl-NL" w:eastAsia="ko-KR"/>
        </w:rPr>
        <w:t xml:space="preserve">Trung tâm hành chính công tỉnh Hà Nam hoặc qua hệ thống bưu chính. 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3 Thành phần, số lượng hồ sơ:</w:t>
      </w:r>
    </w:p>
    <w:p w:rsidR="00D07D7E" w:rsidRPr="006F71A7" w:rsidRDefault="00D07D7E" w:rsidP="00D07D7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Giấy đề nghị công bố đưa trạm dừng nghỉ vào khai thác theo mẫu;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Văn bản chấp thuận đấu nối đường ra, vào trạm dừng nghỉ với đường giao thông của cơ quan có thẩm quyền;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Sơ đồ mặt bằng tổng thể, thiết kế kỹ thuật trạm dừng nghỉ;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Quyết định cho phép đầu tư xây dựng của cơ quan có thẩm quyền;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Biên bản nghiệm thu xây dựng;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Bản đối chiếu các quy định kỹ thuật của Quy chuẩn với các công trình của trạm dừng nghỉ theo mẫu;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Giấy chứng nhận đăng ký kinh doanh của đơn vị kinh doanh khai thác trạm dừng nghỉ;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Quy chế quản lý khai thác do trạm dừng nghỉ ban hành.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* Số lượng: 01 bộ</w:t>
      </w:r>
    </w:p>
    <w:p w:rsidR="00D07D7E" w:rsidRPr="006F71A7" w:rsidRDefault="00D07D7E" w:rsidP="00D07D7E">
      <w:pPr>
        <w:spacing w:before="40"/>
        <w:ind w:left="-120" w:firstLine="84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4 Thời hạn giải quyết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>
        <w:rPr>
          <w:rFonts w:eastAsia="Batang"/>
          <w:color w:val="FF0000"/>
          <w:sz w:val="26"/>
          <w:szCs w:val="26"/>
          <w:lang w:val="nl-NL" w:eastAsia="ko-KR"/>
        </w:rPr>
        <w:t>07</w:t>
      </w:r>
      <w:r w:rsidRPr="00D50904">
        <w:rPr>
          <w:rFonts w:eastAsia="Batang"/>
          <w:color w:val="3F3F3F"/>
          <w:sz w:val="26"/>
          <w:szCs w:val="26"/>
          <w:lang w:val="nl-NL" w:eastAsia="ko-KR"/>
        </w:rPr>
        <w:t xml:space="preserve"> ngày làm việc, kể từ ngày nhận đủ hồ sơ đúng quy định</w:t>
      </w:r>
    </w:p>
    <w:p w:rsidR="00D07D7E" w:rsidRPr="006F71A7" w:rsidRDefault="00D07D7E" w:rsidP="00D07D7E">
      <w:pPr>
        <w:spacing w:before="40"/>
        <w:ind w:left="-120" w:firstLine="840"/>
        <w:jc w:val="both"/>
        <w:rPr>
          <w:rFonts w:eastAsia="Batang"/>
          <w:sz w:val="26"/>
          <w:szCs w:val="26"/>
          <w:lang w:val="nl-NL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 xml:space="preserve"> 5 Đối tượng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Tổ chức, cá nhân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 xml:space="preserve">6 Cơ quan thực hiện thủ tục hành chính: </w:t>
      </w:r>
    </w:p>
    <w:p w:rsidR="00D07D7E" w:rsidRPr="006F71A7" w:rsidRDefault="00D07D7E" w:rsidP="00D07D7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D07D7E" w:rsidRPr="006F71A7" w:rsidRDefault="00D07D7E" w:rsidP="00D07D7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D07D7E" w:rsidRPr="006F71A7" w:rsidRDefault="00D07D7E" w:rsidP="00D07D7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7 Kết quả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D50904">
        <w:rPr>
          <w:rFonts w:eastAsia="Batang"/>
          <w:color w:val="3F3F3F"/>
          <w:sz w:val="26"/>
          <w:szCs w:val="26"/>
          <w:lang w:val="nl-NL" w:eastAsia="ko-KR"/>
        </w:rPr>
        <w:t>Quyết định công bố đưa trạm dừng nghỉ vào khai thác; - Thời hạn của Quyết định: 03 năm.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      </w:t>
      </w:r>
    </w:p>
    <w:p w:rsidR="00D07D7E" w:rsidRPr="00D50904" w:rsidRDefault="00D07D7E" w:rsidP="00D07D7E">
      <w:pPr>
        <w:spacing w:before="40" w:after="40" w:line="266" w:lineRule="auto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ab/>
        <w:t>8 Lệ phí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D50904">
        <w:rPr>
          <w:rFonts w:eastAsia="Batang"/>
          <w:color w:val="000000"/>
          <w:sz w:val="26"/>
          <w:szCs w:val="26"/>
          <w:lang w:val="nl-NL" w:eastAsia="vi-VN"/>
        </w:rPr>
        <w:t>Không có.</w:t>
      </w:r>
    </w:p>
    <w:p w:rsidR="00D07D7E" w:rsidRPr="006F71A7" w:rsidRDefault="000827B1" w:rsidP="00D07D7E">
      <w:pPr>
        <w:shd w:val="clear" w:color="auto" w:fill="FFFFFF"/>
        <w:spacing w:line="234" w:lineRule="atLeas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</w:t>
      </w:r>
      <w:r w:rsidR="00D07D7E" w:rsidRPr="006F71A7">
        <w:rPr>
          <w:b/>
          <w:sz w:val="26"/>
          <w:szCs w:val="26"/>
          <w:lang w:val="nl-NL"/>
        </w:rPr>
        <w:t>9 Tên mẫu đơn, tờ khai</w:t>
      </w:r>
      <w:r w:rsidR="00D07D7E" w:rsidRPr="006F71A7">
        <w:rPr>
          <w:sz w:val="26"/>
          <w:szCs w:val="26"/>
          <w:lang w:val="nl-NL"/>
        </w:rPr>
        <w:t xml:space="preserve">: </w:t>
      </w:r>
    </w:p>
    <w:p w:rsidR="00D07D7E" w:rsidRPr="00D50904" w:rsidRDefault="000827B1" w:rsidP="00D07D7E">
      <w:pPr>
        <w:ind w:firstLine="720"/>
        <w:rPr>
          <w:rFonts w:eastAsia="Batang"/>
          <w:color w:val="3F3F3F"/>
          <w:sz w:val="26"/>
          <w:szCs w:val="26"/>
          <w:lang w:val="nl-NL" w:eastAsia="ko-KR"/>
        </w:rPr>
      </w:pPr>
      <w:hyperlink r:id="rId5" w:history="1">
        <w:r w:rsidR="00D07D7E" w:rsidRPr="00D50904">
          <w:rPr>
            <w:rStyle w:val="Hyperlink"/>
            <w:rFonts w:eastAsia="Batang"/>
            <w:bCs/>
            <w:sz w:val="26"/>
            <w:szCs w:val="26"/>
            <w:bdr w:val="none" w:sz="0" w:space="0" w:color="auto" w:frame="1"/>
            <w:lang w:val="nl-NL" w:eastAsia="ko-KR"/>
          </w:rPr>
          <w:t>- Giấy đề nghị </w:t>
        </w:r>
      </w:hyperlink>
      <w:r w:rsidR="00D07D7E" w:rsidRPr="00D50904">
        <w:rPr>
          <w:rFonts w:eastAsia="Batang"/>
          <w:color w:val="3F3F3F"/>
          <w:sz w:val="26"/>
          <w:szCs w:val="26"/>
          <w:lang w:val="nl-NL" w:eastAsia="ko-KR"/>
        </w:rPr>
        <w:t>công bố đưa trạm dừng nghỉ vào khai thác.</w:t>
      </w:r>
    </w:p>
    <w:p w:rsidR="00D07D7E" w:rsidRPr="00D50904" w:rsidRDefault="00D07D7E" w:rsidP="00D07D7E">
      <w:pPr>
        <w:spacing w:before="120" w:after="120" w:line="300" w:lineRule="atLeast"/>
        <w:ind w:firstLine="720"/>
        <w:jc w:val="both"/>
        <w:rPr>
          <w:rFonts w:eastAsia="Batang"/>
          <w:color w:val="3F3F3F"/>
          <w:sz w:val="26"/>
          <w:szCs w:val="26"/>
          <w:lang w:val="nl-NL" w:eastAsia="ko-KR"/>
        </w:rPr>
      </w:pPr>
      <w:r w:rsidRPr="00D50904">
        <w:rPr>
          <w:rFonts w:eastAsia="Batang"/>
          <w:color w:val="3F3F3F"/>
          <w:sz w:val="26"/>
          <w:szCs w:val="26"/>
          <w:lang w:val="nl-NL" w:eastAsia="ko-KR"/>
        </w:rPr>
        <w:lastRenderedPageBreak/>
        <w:t>-</w:t>
      </w:r>
      <w:hyperlink r:id="rId6" w:history="1">
        <w:r w:rsidRPr="00D50904">
          <w:rPr>
            <w:rStyle w:val="Hyperlink"/>
            <w:rFonts w:eastAsia="Batang"/>
            <w:bCs/>
            <w:sz w:val="26"/>
            <w:szCs w:val="26"/>
            <w:bdr w:val="none" w:sz="0" w:space="0" w:color="auto" w:frame="1"/>
            <w:lang w:val="nl-NL" w:eastAsia="ko-KR"/>
          </w:rPr>
          <w:t> Bản đối chiếu</w:t>
        </w:r>
      </w:hyperlink>
      <w:r w:rsidRPr="00D50904">
        <w:rPr>
          <w:rFonts w:eastAsia="Batang"/>
          <w:color w:val="3F3F3F"/>
          <w:sz w:val="26"/>
          <w:szCs w:val="26"/>
          <w:lang w:val="nl-NL" w:eastAsia="ko-KR"/>
        </w:rPr>
        <w:t> các quy định kỹ thuật của Quy chuẩn với các công trình của trạm dừng nghỉ.</w:t>
      </w:r>
    </w:p>
    <w:p w:rsidR="00D07D7E" w:rsidRPr="006F71A7" w:rsidRDefault="00D07D7E" w:rsidP="00D07D7E">
      <w:pPr>
        <w:spacing w:before="120" w:after="120" w:line="300" w:lineRule="atLeast"/>
        <w:ind w:firstLine="720"/>
        <w:jc w:val="both"/>
        <w:rPr>
          <w:rFonts w:eastAsia="Batang"/>
          <w:sz w:val="26"/>
          <w:szCs w:val="26"/>
          <w:lang w:val="nl-NL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10 Yêu cầu, điều kiện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Không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bookmarkStart w:id="0" w:name="_GoBack"/>
      <w:bookmarkEnd w:id="0"/>
      <w:r w:rsidRPr="006F71A7">
        <w:rPr>
          <w:rFonts w:eastAsia="Batang"/>
          <w:b/>
          <w:sz w:val="26"/>
          <w:szCs w:val="26"/>
          <w:lang w:val="nl-NL" w:eastAsia="ko-KR"/>
        </w:rPr>
        <w:t>11 Căn cứ pháp lý của thủ tục hành chính:</w:t>
      </w:r>
    </w:p>
    <w:p w:rsidR="00D07D7E" w:rsidRPr="00D50904" w:rsidRDefault="00D07D7E" w:rsidP="00D07D7E">
      <w:pPr>
        <w:ind w:firstLine="720"/>
        <w:rPr>
          <w:rFonts w:eastAsia="Batang"/>
          <w:color w:val="3F3F3F"/>
          <w:sz w:val="26"/>
          <w:szCs w:val="26"/>
          <w:shd w:val="clear" w:color="auto" w:fill="FFFFFF"/>
          <w:lang w:val="nl-NL" w:eastAsia="ko-KR"/>
        </w:rPr>
      </w:pPr>
      <w:r w:rsidRPr="00D50904">
        <w:rPr>
          <w:rFonts w:eastAsia="Batang"/>
          <w:color w:val="3F3F3F"/>
          <w:sz w:val="26"/>
          <w:szCs w:val="26"/>
          <w:shd w:val="clear" w:color="auto" w:fill="FFFFFF"/>
          <w:lang w:val="nl-NL" w:eastAsia="ko-KR"/>
        </w:rPr>
        <w:t>- Thông tư số 48/2012/TT-BGTVT ngày 15/11/2012 của Bộ trưởng Bộ GTVT ban hành Quy chuẩn kỹ thuật quốc gia về trạm dừng nghỉ đường bộ.</w:t>
      </w:r>
    </w:p>
    <w:p w:rsidR="00087ECF" w:rsidRDefault="00D07D7E" w:rsidP="00D07D7E">
      <w:r w:rsidRPr="00D50904">
        <w:rPr>
          <w:rFonts w:eastAsia="Batang"/>
          <w:color w:val="3F3F3F"/>
          <w:sz w:val="26"/>
          <w:szCs w:val="26"/>
          <w:shd w:val="clear" w:color="auto" w:fill="FFFFFF"/>
          <w:lang w:val="nl-NL" w:eastAsia="ko-KR"/>
        </w:rPr>
        <w:br w:type="page"/>
      </w:r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7E"/>
    <w:rsid w:val="000827B1"/>
    <w:rsid w:val="00087ECF"/>
    <w:rsid w:val="000F12BD"/>
    <w:rsid w:val="00D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nban.hanoi.gov.vn/documents/2475785/2696403/ban%20doi%20chieu_tt12.doc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vanban.hanoi.gov.vn/documents/2475785/2696403/giay%20de%20nghi_tt12.doc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0F77F65D-7744-4A3D-AEBB-9D99D54F5A9F}"/>
</file>

<file path=customXml/itemProps2.xml><?xml version="1.0" encoding="utf-8"?>
<ds:datastoreItem xmlns:ds="http://schemas.openxmlformats.org/officeDocument/2006/customXml" ds:itemID="{C386F527-34CD-4D9C-A4BC-AFC5FAFBAA93}"/>
</file>

<file path=customXml/itemProps3.xml><?xml version="1.0" encoding="utf-8"?>
<ds:datastoreItem xmlns:ds="http://schemas.openxmlformats.org/officeDocument/2006/customXml" ds:itemID="{0B868299-EEAF-4972-AD6E-2E485372F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Vaio</cp:lastModifiedBy>
  <cp:revision>2</cp:revision>
  <dcterms:created xsi:type="dcterms:W3CDTF">2017-09-16T13:17:00Z</dcterms:created>
  <dcterms:modified xsi:type="dcterms:W3CDTF">2019-08-07T04:15:00Z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