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28C" w:rsidRDefault="0076628C" w:rsidP="0076628C">
      <w:pPr>
        <w:shd w:val="clear" w:color="auto" w:fill="FFFFFF"/>
        <w:spacing w:before="120" w:after="120" w:line="288" w:lineRule="auto"/>
        <w:ind w:left="17" w:right="17"/>
        <w:jc w:val="both"/>
        <w:outlineLvl w:val="2"/>
        <w:rPr>
          <w:rFonts w:ascii="Times New Roman" w:hAnsi="Times New Roman" w:cs="Times New Roman"/>
          <w:b/>
          <w:bCs/>
          <w:sz w:val="28"/>
          <w:szCs w:val="28"/>
        </w:rPr>
      </w:pPr>
      <w:r>
        <w:rPr>
          <w:rFonts w:ascii="Times New Roman" w:hAnsi="Times New Roman" w:cs="Times New Roman"/>
          <w:b/>
          <w:sz w:val="28"/>
          <w:szCs w:val="28"/>
          <w:lang w:val="en-US"/>
        </w:rPr>
        <w:t>14</w:t>
      </w:r>
      <w:r>
        <w:rPr>
          <w:rFonts w:ascii="Times New Roman" w:hAnsi="Times New Roman" w:cs="Times New Roman"/>
          <w:b/>
          <w:sz w:val="28"/>
          <w:szCs w:val="28"/>
        </w:rPr>
        <w:t>. Gia hạn thời gian lưu hành tại Việt Nam cho phương tiện của Lào</w:t>
      </w:r>
    </w:p>
    <w:p w:rsidR="0076628C" w:rsidRDefault="0076628C" w:rsidP="0076628C">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lang w:val="en-US"/>
        </w:rPr>
        <w:t>14.1</w:t>
      </w:r>
      <w:r>
        <w:rPr>
          <w:rStyle w:val="Strong"/>
          <w:rFonts w:ascii="Times New Roman" w:hAnsi="Times New Roman" w:cs="Times New Roman"/>
          <w:sz w:val="28"/>
          <w:szCs w:val="28"/>
        </w:rPr>
        <w:t>Trình tự thực hiện:</w:t>
      </w:r>
    </w:p>
    <w:p w:rsidR="0076628C" w:rsidRDefault="0076628C" w:rsidP="0076628C">
      <w:pPr>
        <w:shd w:val="clear" w:color="auto" w:fill="FFFFFF"/>
        <w:spacing w:before="120" w:after="120" w:line="288" w:lineRule="auto"/>
        <w:jc w:val="both"/>
        <w:textAlignment w:val="top"/>
        <w:rPr>
          <w:rStyle w:val="Strong"/>
          <w:rFonts w:ascii="Times New Roman" w:hAnsi="Times New Roman" w:cs="Times New Roman"/>
          <w:b w:val="0"/>
          <w:sz w:val="28"/>
          <w:szCs w:val="28"/>
        </w:rPr>
      </w:pPr>
      <w:r>
        <w:rPr>
          <w:rStyle w:val="Strong"/>
          <w:rFonts w:ascii="Times New Roman" w:hAnsi="Times New Roman" w:cs="Times New Roman"/>
          <w:sz w:val="28"/>
          <w:szCs w:val="28"/>
        </w:rPr>
        <w:t>a) Nộp hồ sơ TTHC:</w:t>
      </w:r>
    </w:p>
    <w:p w:rsidR="0076628C" w:rsidRDefault="0076628C" w:rsidP="0076628C">
      <w:pPr>
        <w:pStyle w:val="Vnbnnidung0"/>
        <w:adjustRightInd w:val="0"/>
        <w:snapToGrid w:val="0"/>
        <w:spacing w:before="120" w:after="120" w:line="288" w:lineRule="auto"/>
        <w:ind w:firstLine="0"/>
        <w:jc w:val="both"/>
        <w:rPr>
          <w:rStyle w:val="Vnbnnidung"/>
          <w:sz w:val="28"/>
          <w:szCs w:val="28"/>
        </w:rPr>
      </w:pPr>
      <w:r>
        <w:rPr>
          <w:rStyle w:val="Vnbnnidung"/>
          <w:sz w:val="28"/>
          <w:szCs w:val="28"/>
        </w:rPr>
        <w:t xml:space="preserve">Tổ chức, cá nhân nộp hồ sơ trực tiếp tại </w:t>
      </w:r>
      <w:r>
        <w:rPr>
          <w:rFonts w:eastAsia="Batang"/>
          <w:sz w:val="28"/>
          <w:szCs w:val="28"/>
          <w:lang w:val="nl-NL" w:eastAsia="ko-KR"/>
        </w:rPr>
        <w:t>Trung tâm Phục vụ hành chính công tỉnh Hà Nam số 7, đường Trần Phú,</w:t>
      </w:r>
      <w:r>
        <w:rPr>
          <w:rFonts w:eastAsia="Batang"/>
          <w:sz w:val="28"/>
          <w:szCs w:val="28"/>
          <w:lang w:eastAsia="ko-KR"/>
        </w:rPr>
        <w:t xml:space="preserve"> thành phố Phủ Lý</w:t>
      </w:r>
      <w:r>
        <w:rPr>
          <w:rStyle w:val="Vnbnnidung"/>
          <w:sz w:val="28"/>
          <w:szCs w:val="28"/>
        </w:rPr>
        <w:t xml:space="preserve"> nơi phương tiện gặp sự cố bất khả kháng.</w:t>
      </w:r>
    </w:p>
    <w:p w:rsidR="0076628C" w:rsidRDefault="0076628C" w:rsidP="0076628C">
      <w:pPr>
        <w:pStyle w:val="Vnbnnidung0"/>
        <w:adjustRightInd w:val="0"/>
        <w:snapToGrid w:val="0"/>
        <w:spacing w:before="120" w:after="120" w:line="288" w:lineRule="auto"/>
        <w:ind w:firstLine="0"/>
        <w:jc w:val="both"/>
        <w:rPr>
          <w:sz w:val="28"/>
          <w:szCs w:val="28"/>
        </w:rPr>
      </w:pPr>
      <w:r>
        <w:rPr>
          <w:sz w:val="28"/>
          <w:szCs w:val="28"/>
        </w:rPr>
        <w:t>b) Giải quyết TTHC:</w:t>
      </w:r>
    </w:p>
    <w:p w:rsidR="0076628C" w:rsidRDefault="0076628C" w:rsidP="0076628C">
      <w:pPr>
        <w:pStyle w:val="Vnbnnidung0"/>
        <w:adjustRightInd w:val="0"/>
        <w:snapToGrid w:val="0"/>
        <w:spacing w:before="120" w:after="120" w:line="288" w:lineRule="auto"/>
        <w:ind w:firstLine="0"/>
        <w:jc w:val="both"/>
        <w:rPr>
          <w:sz w:val="28"/>
          <w:szCs w:val="28"/>
        </w:rPr>
      </w:pPr>
      <w:r>
        <w:rPr>
          <w:rStyle w:val="Vnbnnidung"/>
          <w:sz w:val="28"/>
          <w:szCs w:val="28"/>
        </w:rPr>
        <w:t xml:space="preserve">Trong thời hạn 02 ngày làm việc kể từ khi nhận đủ hồ sơ </w:t>
      </w:r>
      <w:r>
        <w:rPr>
          <w:rStyle w:val="Vnbnnidung"/>
          <w:sz w:val="28"/>
          <w:szCs w:val="28"/>
          <w:u w:color="FF0000"/>
        </w:rPr>
        <w:t>hợp lệ</w:t>
      </w:r>
      <w:r>
        <w:rPr>
          <w:rStyle w:val="Vnbnnidung"/>
          <w:sz w:val="28"/>
          <w:szCs w:val="28"/>
        </w:rPr>
        <w:t xml:space="preserve"> theo quy định, Sở Giao thông vận tải thực hiện gia hạn thời gian lưu hành tại Việt Nam cho phương tiện của Lào. Sở Giao thông vận tải thực hiện việc gia hạn bằng văn bản hoặc gia hạn trong giấy phép liên vận. Trường hợp không gia hạn, Sở Giao thông vận tải trả lời bằng văn bản nêu rõ lý do</w:t>
      </w:r>
      <w:r>
        <w:rPr>
          <w:rFonts w:eastAsia="Wingdings"/>
          <w:sz w:val="28"/>
          <w:szCs w:val="28"/>
          <w:shd w:val="clear" w:color="auto" w:fill="FFFFFF"/>
        </w:rPr>
        <w:t>.</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rPr>
        <w:t>Cách thức thực hiện:</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Nộp hồ sơ trực tiếp, trực tuyến, đường bưu chính.</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14.2.</w:t>
      </w:r>
      <w:r>
        <w:rPr>
          <w:rStyle w:val="Strong"/>
          <w:rFonts w:ascii="Times New Roman" w:hAnsi="Times New Roman" w:cs="Times New Roman"/>
          <w:sz w:val="28"/>
          <w:szCs w:val="28"/>
        </w:rPr>
        <w:t>Thành phần, số lượng hồ sơ:</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rPr>
        <w:t>a) Thành phần hồ sơ:</w:t>
      </w:r>
      <w:r>
        <w:rPr>
          <w:rFonts w:ascii="Times New Roman" w:hAnsi="Times New Roman" w:cs="Times New Roman"/>
          <w:sz w:val="28"/>
          <w:szCs w:val="28"/>
          <w:shd w:val="clear" w:color="auto" w:fill="FFFFFF"/>
        </w:rPr>
        <w:t xml:space="preserve"> </w:t>
      </w:r>
    </w:p>
    <w:p w:rsidR="0076628C" w:rsidRDefault="0076628C" w:rsidP="0076628C">
      <w:pPr>
        <w:pStyle w:val="Vnbnnidung0"/>
        <w:adjustRightInd w:val="0"/>
        <w:snapToGrid w:val="0"/>
        <w:spacing w:before="120" w:after="120" w:line="288" w:lineRule="auto"/>
        <w:ind w:firstLine="0"/>
        <w:jc w:val="both"/>
        <w:rPr>
          <w:sz w:val="28"/>
          <w:szCs w:val="28"/>
        </w:rPr>
      </w:pPr>
      <w:r>
        <w:rPr>
          <w:rStyle w:val="Vnbnnidung"/>
          <w:sz w:val="28"/>
          <w:szCs w:val="28"/>
        </w:rPr>
        <w:t xml:space="preserve">-  Giấy đề nghị gia hạn theo mẫu. </w:t>
      </w:r>
    </w:p>
    <w:p w:rsidR="0076628C" w:rsidRDefault="0076628C" w:rsidP="0076628C">
      <w:pPr>
        <w:pStyle w:val="Vnbnnidung0"/>
        <w:adjustRightInd w:val="0"/>
        <w:snapToGrid w:val="0"/>
        <w:spacing w:before="120" w:after="120" w:line="288" w:lineRule="auto"/>
        <w:ind w:firstLine="0"/>
        <w:jc w:val="both"/>
        <w:rPr>
          <w:sz w:val="28"/>
          <w:szCs w:val="28"/>
        </w:rPr>
      </w:pPr>
      <w:r>
        <w:rPr>
          <w:rStyle w:val="Vnbnnidung"/>
          <w:sz w:val="28"/>
          <w:szCs w:val="28"/>
        </w:rPr>
        <w:t>- Giấy phép liên vận giữa Việt Nam và Lào (bản chính).</w:t>
      </w:r>
    </w:p>
    <w:p w:rsidR="0076628C" w:rsidRDefault="0076628C" w:rsidP="0076628C">
      <w:pPr>
        <w:shd w:val="clear" w:color="auto" w:fill="FFFFFF"/>
        <w:spacing w:before="120" w:after="120" w:line="288" w:lineRule="auto"/>
        <w:rPr>
          <w:rFonts w:ascii="Times New Roman" w:hAnsi="Times New Roman" w:cs="Times New Roman"/>
          <w:sz w:val="28"/>
          <w:szCs w:val="28"/>
        </w:rPr>
      </w:pPr>
      <w:r>
        <w:rPr>
          <w:rFonts w:ascii="Times New Roman" w:hAnsi="Times New Roman" w:cs="Times New Roman"/>
          <w:sz w:val="28"/>
          <w:szCs w:val="28"/>
          <w:shd w:val="clear" w:color="auto" w:fill="FFFFFF"/>
        </w:rPr>
        <w:t>b) Số lượng</w:t>
      </w:r>
      <w:r>
        <w:rPr>
          <w:rFonts w:ascii="Times New Roman" w:hAnsi="Times New Roman" w:cs="Times New Roman"/>
          <w:sz w:val="28"/>
          <w:szCs w:val="28"/>
        </w:rPr>
        <w:t xml:space="preserve"> hồ sơ: 01 bộ.</w:t>
      </w:r>
    </w:p>
    <w:p w:rsidR="0076628C" w:rsidRDefault="0076628C" w:rsidP="0076628C">
      <w:pPr>
        <w:spacing w:before="120" w:after="120" w:line="288" w:lineRule="auto"/>
        <w:jc w:val="both"/>
        <w:rPr>
          <w:rFonts w:ascii="Times New Roman" w:hAnsi="Times New Roman" w:cs="Times New Roman"/>
          <w:sz w:val="28"/>
          <w:szCs w:val="28"/>
        </w:rPr>
      </w:pPr>
      <w:r>
        <w:rPr>
          <w:rStyle w:val="Strong"/>
          <w:rFonts w:ascii="Times New Roman" w:hAnsi="Times New Roman" w:cs="Times New Roman"/>
          <w:sz w:val="28"/>
          <w:szCs w:val="28"/>
          <w:lang w:val="en-US"/>
        </w:rPr>
        <w:t>14.3.</w:t>
      </w:r>
      <w:r>
        <w:rPr>
          <w:rStyle w:val="Strong"/>
          <w:rFonts w:ascii="Times New Roman" w:hAnsi="Times New Roman" w:cs="Times New Roman"/>
          <w:sz w:val="28"/>
          <w:szCs w:val="28"/>
        </w:rPr>
        <w:t>Thời hạn giải quyết:</w:t>
      </w:r>
      <w:r>
        <w:rPr>
          <w:rFonts w:ascii="Times New Roman" w:hAnsi="Times New Roman" w:cs="Times New Roman"/>
          <w:sz w:val="28"/>
          <w:szCs w:val="28"/>
        </w:rPr>
        <w:t xml:space="preserve"> </w:t>
      </w:r>
    </w:p>
    <w:p w:rsidR="0076628C" w:rsidRDefault="0076628C" w:rsidP="0076628C">
      <w:pPr>
        <w:spacing w:before="120" w:after="120" w:line="288" w:lineRule="auto"/>
        <w:jc w:val="both"/>
        <w:rPr>
          <w:rFonts w:ascii="Times New Roman" w:hAnsi="Times New Roman" w:cs="Times New Roman"/>
          <w:spacing w:val="-6"/>
          <w:sz w:val="28"/>
          <w:szCs w:val="28"/>
          <w:shd w:val="clear" w:color="auto" w:fill="FFFFFF"/>
        </w:rPr>
      </w:pPr>
      <w:r>
        <w:rPr>
          <w:rFonts w:ascii="Times New Roman" w:hAnsi="Times New Roman" w:cs="Times New Roman"/>
          <w:spacing w:val="-6"/>
          <w:sz w:val="28"/>
          <w:szCs w:val="28"/>
          <w:shd w:val="clear" w:color="auto" w:fill="FFFFFF"/>
        </w:rPr>
        <w:t>- Trong thời hạn 02 ngày làm việc kể từ ngày nhận đủ hồ sơ hợp lệ theo quy định.</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14.4.</w:t>
      </w:r>
      <w:r>
        <w:rPr>
          <w:rStyle w:val="Strong"/>
          <w:rFonts w:ascii="Times New Roman" w:hAnsi="Times New Roman" w:cs="Times New Roman"/>
          <w:sz w:val="28"/>
          <w:szCs w:val="28"/>
        </w:rPr>
        <w:t>Đối tượng thực hiện TTHC:</w:t>
      </w:r>
      <w:r>
        <w:rPr>
          <w:rFonts w:ascii="Times New Roman" w:hAnsi="Times New Roman" w:cs="Times New Roman"/>
          <w:sz w:val="28"/>
          <w:szCs w:val="28"/>
        </w:rPr>
        <w:t xml:space="preserve"> Tổ chức, cá nhân. </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14.5.</w:t>
      </w:r>
      <w:r>
        <w:rPr>
          <w:rStyle w:val="Strong"/>
          <w:rFonts w:ascii="Times New Roman" w:hAnsi="Times New Roman" w:cs="Times New Roman"/>
          <w:sz w:val="28"/>
          <w:szCs w:val="28"/>
        </w:rPr>
        <w:t>Cơ quan thực hiện TTHC:</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a) Cơ quan có thẩm quyền quyết định: </w:t>
      </w:r>
      <w:r>
        <w:rPr>
          <w:rFonts w:ascii="Times New Roman" w:hAnsi="Times New Roman" w:cs="Times New Roman"/>
          <w:sz w:val="28"/>
          <w:szCs w:val="28"/>
          <w:shd w:val="clear" w:color="auto" w:fill="FFFFFF"/>
        </w:rPr>
        <w:t>Sở Giao thông vận tải</w:t>
      </w:r>
      <w:r>
        <w:rPr>
          <w:rFonts w:ascii="Times New Roman" w:hAnsi="Times New Roman" w:cs="Times New Roman"/>
          <w:sz w:val="28"/>
          <w:szCs w:val="28"/>
        </w:rPr>
        <w:t>;</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b) Cơ quan hoặc người có thẩm quyền được uỷ quyền hoặc phân cấp thực hiện: Không có;</w:t>
      </w:r>
    </w:p>
    <w:p w:rsidR="0076628C" w:rsidRDefault="0076628C" w:rsidP="0076628C">
      <w:pPr>
        <w:spacing w:before="120" w:after="120" w:line="288" w:lineRule="auto"/>
        <w:jc w:val="both"/>
        <w:rPr>
          <w:rFonts w:ascii="Times New Roman" w:hAnsi="Times New Roman" w:cs="Times New Roman"/>
          <w:sz w:val="28"/>
          <w:szCs w:val="28"/>
        </w:rPr>
      </w:pPr>
      <w:r>
        <w:rPr>
          <w:rFonts w:ascii="Times New Roman" w:hAnsi="Times New Roman" w:cs="Times New Roman"/>
          <w:sz w:val="28"/>
          <w:szCs w:val="28"/>
        </w:rPr>
        <w:t xml:space="preserve">c) Cơ quan trực tiếp thực hiện thủ tục hành chính: </w:t>
      </w:r>
      <w:r>
        <w:rPr>
          <w:rFonts w:ascii="Times New Roman" w:hAnsi="Times New Roman" w:cs="Times New Roman"/>
          <w:sz w:val="28"/>
          <w:szCs w:val="28"/>
          <w:shd w:val="clear" w:color="auto" w:fill="FFFFFF"/>
        </w:rPr>
        <w:t>Sở Giao thông vận tải</w:t>
      </w:r>
      <w:r>
        <w:rPr>
          <w:rFonts w:ascii="Times New Roman" w:hAnsi="Times New Roman" w:cs="Times New Roman"/>
          <w:sz w:val="28"/>
          <w:szCs w:val="28"/>
        </w:rPr>
        <w:t>;</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d) Cơ quan phối hợp: Không có.</w:t>
      </w:r>
    </w:p>
    <w:p w:rsidR="0076628C" w:rsidRDefault="0076628C" w:rsidP="0076628C">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lang w:val="en-US"/>
        </w:rPr>
        <w:t>14.6.</w:t>
      </w:r>
      <w:r>
        <w:rPr>
          <w:rStyle w:val="Strong"/>
          <w:rFonts w:ascii="Times New Roman" w:hAnsi="Times New Roman" w:cs="Times New Roman"/>
          <w:sz w:val="28"/>
          <w:szCs w:val="28"/>
        </w:rPr>
        <w:t xml:space="preserve">Kết quả của việc thực hiện TTHC: </w:t>
      </w:r>
    </w:p>
    <w:p w:rsidR="0076628C" w:rsidRDefault="0076628C" w:rsidP="0076628C">
      <w:pPr>
        <w:shd w:val="clear" w:color="auto" w:fill="FFFFFF"/>
        <w:spacing w:before="120" w:after="120" w:line="288" w:lineRule="auto"/>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Gia hạn thời gian lưu hành tại Việt Nam cho phương tiện của Lào</w:t>
      </w:r>
      <w:r>
        <w:rPr>
          <w:rFonts w:ascii="Times New Roman" w:eastAsia="Times New Roman" w:hAnsi="Times New Roman" w:cs="Times New Roman"/>
          <w:sz w:val="28"/>
          <w:szCs w:val="28"/>
        </w:rPr>
        <w:t xml:space="preserve">. </w:t>
      </w:r>
    </w:p>
    <w:p w:rsidR="0076628C" w:rsidRDefault="0076628C" w:rsidP="0076628C">
      <w:pPr>
        <w:shd w:val="clear" w:color="auto" w:fill="FFFFFF"/>
        <w:spacing w:before="120" w:after="120" w:line="288" w:lineRule="auto"/>
        <w:jc w:val="both"/>
        <w:textAlignment w:val="top"/>
        <w:rPr>
          <w:rFonts w:ascii="Times New Roman" w:hAnsi="Times New Roman" w:cs="Times New Roman"/>
          <w:b/>
          <w:bCs/>
          <w:sz w:val="28"/>
          <w:szCs w:val="28"/>
        </w:rPr>
      </w:pPr>
      <w:r>
        <w:rPr>
          <w:rStyle w:val="Strong"/>
          <w:rFonts w:ascii="Times New Roman" w:hAnsi="Times New Roman" w:cs="Times New Roman"/>
          <w:sz w:val="28"/>
          <w:szCs w:val="28"/>
          <w:lang w:val="en-US"/>
        </w:rPr>
        <w:t>14.7.</w:t>
      </w:r>
      <w:r>
        <w:rPr>
          <w:rStyle w:val="Strong"/>
          <w:rFonts w:ascii="Times New Roman" w:hAnsi="Times New Roman" w:cs="Times New Roman"/>
          <w:sz w:val="28"/>
          <w:szCs w:val="28"/>
        </w:rPr>
        <w:t xml:space="preserve">Phí, lệ phí: </w:t>
      </w:r>
      <w:r>
        <w:rPr>
          <w:rFonts w:ascii="Times New Roman" w:hAnsi="Times New Roman" w:cs="Times New Roman"/>
          <w:sz w:val="28"/>
          <w:szCs w:val="28"/>
        </w:rPr>
        <w:t>Không có.</w:t>
      </w:r>
    </w:p>
    <w:p w:rsidR="0076628C" w:rsidRDefault="0076628C" w:rsidP="0076628C">
      <w:pPr>
        <w:shd w:val="clear" w:color="auto" w:fill="FFFFFF"/>
        <w:spacing w:before="120" w:after="120" w:line="288" w:lineRule="auto"/>
        <w:jc w:val="both"/>
        <w:textAlignment w:val="top"/>
        <w:rPr>
          <w:rStyle w:val="Strong"/>
          <w:rFonts w:ascii="Times New Roman" w:hAnsi="Times New Roman" w:cs="Times New Roman"/>
          <w:sz w:val="28"/>
          <w:szCs w:val="28"/>
        </w:rPr>
      </w:pPr>
      <w:r>
        <w:rPr>
          <w:rStyle w:val="Strong"/>
          <w:rFonts w:ascii="Times New Roman" w:hAnsi="Times New Roman" w:cs="Times New Roman"/>
          <w:sz w:val="28"/>
          <w:szCs w:val="28"/>
          <w:lang w:val="en-US"/>
        </w:rPr>
        <w:t>14.8.</w:t>
      </w:r>
      <w:r>
        <w:rPr>
          <w:rStyle w:val="Strong"/>
          <w:rFonts w:ascii="Times New Roman" w:hAnsi="Times New Roman" w:cs="Times New Roman"/>
          <w:sz w:val="28"/>
          <w:szCs w:val="28"/>
        </w:rPr>
        <w:t xml:space="preserve">Tên mẫu đơn, tờ khai hành chính: </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w:t>
      </w:r>
      <w:r>
        <w:rPr>
          <w:rStyle w:val="Vnbnnidung"/>
          <w:rFonts w:ascii="Times New Roman" w:hAnsi="Times New Roman" w:cs="Times New Roman"/>
          <w:sz w:val="28"/>
          <w:szCs w:val="28"/>
        </w:rPr>
        <w:t>Giấy đề nghị gia hạn</w:t>
      </w:r>
      <w:r>
        <w:rPr>
          <w:rFonts w:ascii="Times New Roman" w:hAnsi="Times New Roman" w:cs="Times New Roman"/>
          <w:sz w:val="28"/>
          <w:szCs w:val="28"/>
        </w:rPr>
        <w:t xml:space="preserve"> thời gian lưu hành tại Việt Nam cho phương tiện của Lào.</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Style w:val="Strong"/>
          <w:rFonts w:ascii="Times New Roman" w:hAnsi="Times New Roman" w:cs="Times New Roman"/>
          <w:sz w:val="28"/>
          <w:szCs w:val="28"/>
          <w:lang w:val="en-US"/>
        </w:rPr>
        <w:t>14.9.</w:t>
      </w:r>
      <w:r>
        <w:rPr>
          <w:rStyle w:val="Strong"/>
          <w:rFonts w:ascii="Times New Roman" w:hAnsi="Times New Roman" w:cs="Times New Roman"/>
          <w:sz w:val="28"/>
          <w:szCs w:val="28"/>
        </w:rPr>
        <w:t xml:space="preserve">Yêu cầu, điều kiện thực hiện TTHC: </w:t>
      </w:r>
      <w:r>
        <w:rPr>
          <w:rFonts w:ascii="Times New Roman" w:hAnsi="Times New Roman" w:cs="Times New Roman"/>
          <w:sz w:val="28"/>
          <w:szCs w:val="28"/>
        </w:rPr>
        <w:t>Không có</w:t>
      </w:r>
    </w:p>
    <w:p w:rsidR="0076628C" w:rsidRDefault="0076628C" w:rsidP="0076628C">
      <w:pPr>
        <w:shd w:val="clear" w:color="auto" w:fill="FFFFFF"/>
        <w:spacing w:before="120" w:after="120" w:line="288" w:lineRule="auto"/>
        <w:jc w:val="both"/>
        <w:textAlignment w:val="top"/>
        <w:rPr>
          <w:rStyle w:val="Strong"/>
          <w:rFonts w:ascii="Times New Roman" w:hAnsi="Times New Roman" w:cs="Times New Roman"/>
          <w:sz w:val="28"/>
          <w:szCs w:val="28"/>
          <w:lang w:val="hr-HR"/>
        </w:rPr>
      </w:pPr>
      <w:r>
        <w:rPr>
          <w:rStyle w:val="Strong"/>
          <w:rFonts w:ascii="Times New Roman" w:hAnsi="Times New Roman" w:cs="Times New Roman"/>
          <w:sz w:val="28"/>
          <w:szCs w:val="28"/>
          <w:lang w:val="en-US"/>
        </w:rPr>
        <w:t>14.10.</w:t>
      </w:r>
      <w:r>
        <w:rPr>
          <w:rStyle w:val="Strong"/>
          <w:rFonts w:ascii="Times New Roman" w:hAnsi="Times New Roman" w:cs="Times New Roman"/>
          <w:sz w:val="28"/>
          <w:szCs w:val="28"/>
        </w:rPr>
        <w:t>C</w:t>
      </w:r>
      <w:r>
        <w:rPr>
          <w:rStyle w:val="Strong"/>
          <w:rFonts w:ascii="Times New Roman" w:hAnsi="Times New Roman" w:cs="Times New Roman"/>
          <w:sz w:val="28"/>
          <w:szCs w:val="28"/>
          <w:lang w:val="hr-HR"/>
        </w:rPr>
        <w:t>ă</w:t>
      </w:r>
      <w:r>
        <w:rPr>
          <w:rStyle w:val="Strong"/>
          <w:rFonts w:ascii="Times New Roman" w:hAnsi="Times New Roman" w:cs="Times New Roman"/>
          <w:sz w:val="28"/>
          <w:szCs w:val="28"/>
        </w:rPr>
        <w:t>n cứ ph</w:t>
      </w:r>
      <w:r>
        <w:rPr>
          <w:rStyle w:val="Strong"/>
          <w:rFonts w:ascii="Times New Roman" w:hAnsi="Times New Roman" w:cs="Times New Roman"/>
          <w:sz w:val="28"/>
          <w:szCs w:val="28"/>
          <w:lang w:val="hr-HR"/>
        </w:rPr>
        <w:t>á</w:t>
      </w:r>
      <w:r>
        <w:rPr>
          <w:rStyle w:val="Strong"/>
          <w:rFonts w:ascii="Times New Roman" w:hAnsi="Times New Roman" w:cs="Times New Roman"/>
          <w:sz w:val="28"/>
          <w:szCs w:val="28"/>
        </w:rPr>
        <w:t>p l</w:t>
      </w:r>
      <w:r>
        <w:rPr>
          <w:rStyle w:val="Strong"/>
          <w:rFonts w:ascii="Times New Roman" w:hAnsi="Times New Roman" w:cs="Times New Roman"/>
          <w:sz w:val="28"/>
          <w:szCs w:val="28"/>
          <w:lang w:val="hr-HR"/>
        </w:rPr>
        <w:t xml:space="preserve">ý </w:t>
      </w:r>
      <w:r>
        <w:rPr>
          <w:rStyle w:val="Strong"/>
          <w:rFonts w:ascii="Times New Roman" w:hAnsi="Times New Roman" w:cs="Times New Roman"/>
          <w:sz w:val="28"/>
          <w:szCs w:val="28"/>
        </w:rPr>
        <w:t>của TTHC</w:t>
      </w:r>
      <w:r>
        <w:rPr>
          <w:rStyle w:val="Strong"/>
          <w:rFonts w:ascii="Times New Roman" w:hAnsi="Times New Roman" w:cs="Times New Roman"/>
          <w:sz w:val="28"/>
          <w:szCs w:val="28"/>
          <w:lang w:val="hr-HR"/>
        </w:rPr>
        <w:t xml:space="preserve">: </w:t>
      </w:r>
    </w:p>
    <w:p w:rsidR="0076628C" w:rsidRDefault="0076628C" w:rsidP="0076628C">
      <w:pPr>
        <w:shd w:val="clear" w:color="auto" w:fill="FFFFFF"/>
        <w:spacing w:before="120" w:after="120" w:line="288" w:lineRule="auto"/>
        <w:jc w:val="both"/>
        <w:textAlignment w:val="top"/>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Nghị định số 119/2021/NĐ-CP ngày 24/12/2021 của Chính phủ quy định về trình tự, thủ tục cấp, cấp lại, thu hồi giấy phép vận tải đường bộ qua biên giới.</w:t>
      </w:r>
    </w:p>
    <w:p w:rsidR="00EB5AB5" w:rsidRDefault="0076628C" w:rsidP="0076628C">
      <w:r>
        <w:rPr>
          <w:rFonts w:ascii="Times New Roman" w:hAnsi="Times New Roman" w:cs="Times New Roman"/>
          <w:b/>
          <w:bCs/>
          <w:sz w:val="28"/>
          <w:szCs w:val="28"/>
        </w:rPr>
        <w:br w:type="page"/>
      </w:r>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8C"/>
    <w:rsid w:val="006F23EF"/>
    <w:rsid w:val="0076628C"/>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052E3-C137-4DF9-95E8-19939627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8C"/>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uiPriority w:val="9"/>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Strong">
    <w:name w:val="Strong"/>
    <w:uiPriority w:val="22"/>
    <w:qFormat/>
    <w:rsid w:val="0076628C"/>
    <w:rPr>
      <w:b/>
      <w:bCs/>
    </w:rPr>
  </w:style>
  <w:style w:type="character" w:customStyle="1" w:styleId="Vnbnnidung">
    <w:name w:val="Văn bản nội dung_"/>
    <w:link w:val="Vnbnnidung0"/>
    <w:uiPriority w:val="99"/>
    <w:locked/>
    <w:rsid w:val="0076628C"/>
    <w:rPr>
      <w:sz w:val="26"/>
      <w:szCs w:val="26"/>
    </w:rPr>
  </w:style>
  <w:style w:type="paragraph" w:customStyle="1" w:styleId="Vnbnnidung0">
    <w:name w:val="Văn bản nội dung"/>
    <w:basedOn w:val="Normal"/>
    <w:link w:val="Vnbnnidung"/>
    <w:uiPriority w:val="99"/>
    <w:rsid w:val="0076628C"/>
    <w:pPr>
      <w:spacing w:after="220" w:line="264"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6B0F83C-E996-4971-A2E7-95D476C1CEBC}"/>
</file>

<file path=customXml/itemProps2.xml><?xml version="1.0" encoding="utf-8"?>
<ds:datastoreItem xmlns:ds="http://schemas.openxmlformats.org/officeDocument/2006/customXml" ds:itemID="{CF956F68-3D5C-43A3-A4E0-D39E2B569C44}"/>
</file>

<file path=customXml/itemProps3.xml><?xml version="1.0" encoding="utf-8"?>
<ds:datastoreItem xmlns:ds="http://schemas.openxmlformats.org/officeDocument/2006/customXml" ds:itemID="{216AA997-D0C2-4C61-B6AE-37EDA29B8C29}"/>
</file>

<file path=docProps/app.xml><?xml version="1.0" encoding="utf-8"?>
<Properties xmlns="http://schemas.openxmlformats.org/officeDocument/2006/extended-properties" xmlns:vt="http://schemas.openxmlformats.org/officeDocument/2006/docPropsVTypes">
  <Template>Normal</Template>
  <TotalTime>1</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2022-09-14T06:00:00Z</dcterms:created>
  <dcterms:modified xsi:type="dcterms:W3CDTF">2022-09-14T06:01:00Z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