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0A8B" w14:textId="77777777" w:rsidR="00146977" w:rsidRDefault="00000000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432B331D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1.001261</w:t>
      </w:r>
    </w:p>
    <w:p w14:paraId="6B54B759" w14:textId="5A4B74E1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="00DF3A06">
        <w:rPr>
          <w:rFonts w:ascii="Times New Roman" w:eastAsia="Times New Roman" w:hAnsi="Times New Roman" w:cs="Times New Roman"/>
          <w:sz w:val="26"/>
        </w:rPr>
        <w:t>395/QĐ-SGTVT</w:t>
      </w:r>
    </w:p>
    <w:p w14:paraId="2C0ACD0A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3568CE47" w14:textId="1BCFD4D3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</w:p>
    <w:p w14:paraId="10BE44E0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6E64F900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</w:p>
    <w:p w14:paraId="32B1549C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5807B5D1" w14:textId="77777777" w:rsidR="00146977" w:rsidRDefault="00000000">
      <w:pPr>
        <w:shd w:val="clear" w:color="auto" w:fill="F2F6F9"/>
        <w:spacing w:before="12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3AD70844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tờ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6664DD69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468EF4A3" w14:textId="77777777" w:rsidR="00146977" w:rsidRDefault="00000000">
      <w:pPr>
        <w:shd w:val="clear" w:color="auto" w:fill="F2F6F9"/>
        <w:spacing w:before="12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754BF5D7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tờ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14:paraId="7E233722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cứu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dữ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Quản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riêng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ngay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miễn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thêm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dữ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lắp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nhập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Việt Nam),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hướng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đánh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6"/>
        </w:rPr>
        <w:t>Phiếu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28070146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Xe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hẹn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hẹn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tờ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Trường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Việt Nam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xóa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2FC89FE4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Xe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khiếm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hỏng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Thông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khiếm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hỏng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khắc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Trường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cổng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Việt Nam.</w:t>
      </w:r>
    </w:p>
    <w:p w14:paraId="3EAAAFEA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14:paraId="352B85CA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Trường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do.</w:t>
      </w:r>
    </w:p>
    <w:p w14:paraId="61B871CB" w14:textId="77777777" w:rsidR="00146977" w:rsidRDefault="00000000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BF269A9" w14:textId="77777777" w:rsidR="00146977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825"/>
        <w:gridCol w:w="5521"/>
        <w:gridCol w:w="2264"/>
      </w:tblGrid>
      <w:tr w:rsidR="00146977" w14:paraId="20437E3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1DCC6E56" w14:textId="77777777" w:rsidR="00146977" w:rsidRDefault="00146977"/>
          <w:p w14:paraId="46B1891F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23E646BA" w14:textId="77777777" w:rsidR="00146977" w:rsidRDefault="00146977"/>
          <w:p w14:paraId="54340697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6AEDB175" w14:textId="77777777" w:rsidR="00146977" w:rsidRDefault="00146977"/>
          <w:p w14:paraId="3BBDD735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7CF5CFE9" w14:textId="77777777" w:rsidR="00146977" w:rsidRDefault="00146977"/>
          <w:p w14:paraId="7D361EAB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146977" w14:paraId="4F96D59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4E7DDD" w14:textId="77777777" w:rsidR="00146977" w:rsidRDefault="00146977"/>
          <w:p w14:paraId="563F7EB8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5CED4736" w14:textId="77777777" w:rsidR="00146977" w:rsidRDefault="00146977"/>
          <w:p w14:paraId="15D1D1D0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D6AE152" w14:textId="77777777" w:rsidR="00146977" w:rsidRDefault="00146977"/>
          <w:p w14:paraId="7852C893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40.000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/01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riêng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ngồi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gồm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): 90.000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/01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14:paraId="1AE59BAD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238/2016/TT-BTC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11/12/2016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55/2022/TT-BTC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24/8/2022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Tài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0" w:type="auto"/>
          </w:tcPr>
          <w:p w14:paraId="75920174" w14:textId="77777777" w:rsidR="00146977" w:rsidRDefault="00146977"/>
          <w:p w14:paraId="7D4EB586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(Trong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(Trong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  <w:tr w:rsidR="00146977" w14:paraId="0767DD4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8C915D" w14:textId="77777777" w:rsidR="00146977" w:rsidRDefault="00146977"/>
          <w:p w14:paraId="73B18DA0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7D932217" w14:textId="77777777" w:rsidR="00146977" w:rsidRDefault="00146977"/>
          <w:p w14:paraId="108FCD03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7B89AEB" w14:textId="77777777" w:rsidR="00146977" w:rsidRDefault="00146977"/>
          <w:p w14:paraId="001C175F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40.000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/01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riêng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ngồi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gồm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): 90.000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/01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14:paraId="50B93D80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238/2016/TT-BTC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11/12/2016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55/2022/TT-BTC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24/8/2022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Tài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0" w:type="auto"/>
          </w:tcPr>
          <w:p w14:paraId="6D7934DC" w14:textId="77777777" w:rsidR="00146977" w:rsidRDefault="00146977"/>
          <w:p w14:paraId="5DEDD095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(Trong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  <w:tr w:rsidR="00146977" w14:paraId="5126C60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6A12EB5" w14:textId="77777777" w:rsidR="00146977" w:rsidRDefault="00146977"/>
          <w:p w14:paraId="6089B2E3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1DA0A634" w14:textId="77777777" w:rsidR="00146977" w:rsidRDefault="00146977"/>
          <w:p w14:paraId="3714D668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3572327E" w14:textId="77777777" w:rsidR="00146977" w:rsidRDefault="00146977"/>
          <w:p w14:paraId="7907D606" w14:textId="77777777" w:rsidR="00146977" w:rsidRDefault="00000000">
            <w:pPr>
              <w:spacing w:after="0" w:line="276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40.000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/01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riêng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ngồi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gồm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): 90.000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/01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14:paraId="3CAAA49B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238/2016/TT-BTC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11/12/2016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55/2022/TT-BTC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24/8/2022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Tài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0" w:type="auto"/>
          </w:tcPr>
          <w:p w14:paraId="7979B508" w14:textId="77777777" w:rsidR="00146977" w:rsidRDefault="00146977"/>
          <w:p w14:paraId="4D22F53B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(Trong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</w:tbl>
    <w:p w14:paraId="5788D6F5" w14:textId="77777777" w:rsidR="00146977" w:rsidRDefault="00000000">
      <w:p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Thành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37AB66F8" w14:textId="77777777" w:rsidR="00146977" w:rsidRDefault="0000000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3"/>
        <w:gridCol w:w="1038"/>
        <w:gridCol w:w="1000"/>
      </w:tblGrid>
      <w:tr w:rsidR="00146977" w14:paraId="3609CE5D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459A1C7F" w14:textId="77777777" w:rsidR="00146977" w:rsidRDefault="00146977"/>
          <w:p w14:paraId="44441D43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0423671D" w14:textId="77777777" w:rsidR="00146977" w:rsidRDefault="00146977"/>
          <w:p w14:paraId="5D3779DB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344ABAD9" w14:textId="77777777" w:rsidR="00146977" w:rsidRDefault="00146977"/>
          <w:p w14:paraId="31EEED13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146977" w14:paraId="5EC22A4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13EA52C" w14:textId="77777777" w:rsidR="00146977" w:rsidRDefault="00146977"/>
          <w:p w14:paraId="4B53453A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Văn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54939D68" w14:textId="77777777" w:rsidR="00146977" w:rsidRDefault="00146977"/>
          <w:p w14:paraId="3E0A88BB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2.docx</w:t>
            </w:r>
          </w:p>
        </w:tc>
        <w:tc>
          <w:tcPr>
            <w:tcW w:w="0" w:type="auto"/>
          </w:tcPr>
          <w:p w14:paraId="352C41A1" w14:textId="77777777" w:rsidR="00146977" w:rsidRDefault="00146977"/>
          <w:p w14:paraId="7DDE9334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46977" w14:paraId="23ED9F8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9DDA1EA" w14:textId="77777777" w:rsidR="00146977" w:rsidRDefault="00146977"/>
          <w:p w14:paraId="269974F6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6828CADF" w14:textId="77777777" w:rsidR="00146977" w:rsidRDefault="00146977"/>
        </w:tc>
        <w:tc>
          <w:tcPr>
            <w:tcW w:w="0" w:type="auto"/>
          </w:tcPr>
          <w:p w14:paraId="7FFBAE1D" w14:textId="77777777" w:rsidR="00146977" w:rsidRDefault="00146977"/>
          <w:p w14:paraId="75539E52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46977" w14:paraId="2D27596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E0D1178" w14:textId="77777777" w:rsidR="00146977" w:rsidRDefault="00146977"/>
          <w:p w14:paraId="0664213B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ATKT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BVMT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4A5B98FE" w14:textId="77777777" w:rsidR="00146977" w:rsidRDefault="00146977"/>
        </w:tc>
        <w:tc>
          <w:tcPr>
            <w:tcW w:w="0" w:type="auto"/>
          </w:tcPr>
          <w:p w14:paraId="370929D5" w14:textId="77777777" w:rsidR="00146977" w:rsidRDefault="00146977"/>
          <w:p w14:paraId="759696E2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0</w:t>
            </w:r>
          </w:p>
        </w:tc>
      </w:tr>
      <w:tr w:rsidR="00146977" w14:paraId="5A4D8FB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99CD30D" w14:textId="77777777" w:rsidR="00146977" w:rsidRDefault="00146977"/>
          <w:p w14:paraId="70597A61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Thông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camera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lắp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camera;</w:t>
            </w:r>
          </w:p>
        </w:tc>
        <w:tc>
          <w:tcPr>
            <w:tcW w:w="0" w:type="auto"/>
          </w:tcPr>
          <w:p w14:paraId="33B8C137" w14:textId="77777777" w:rsidR="00146977" w:rsidRDefault="00146977"/>
        </w:tc>
        <w:tc>
          <w:tcPr>
            <w:tcW w:w="0" w:type="auto"/>
          </w:tcPr>
          <w:p w14:paraId="51D93D10" w14:textId="77777777" w:rsidR="00146977" w:rsidRDefault="00146977"/>
          <w:p w14:paraId="16085FBD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46977" w14:paraId="302282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C8FCA01" w14:textId="77777777" w:rsidR="00146977" w:rsidRDefault="00146977"/>
          <w:p w14:paraId="634576BB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Khai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dõi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7AE8D333" w14:textId="77777777" w:rsidR="00146977" w:rsidRDefault="00146977"/>
          <w:p w14:paraId="50FB419D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1.docx</w:t>
            </w:r>
          </w:p>
        </w:tc>
        <w:tc>
          <w:tcPr>
            <w:tcW w:w="0" w:type="auto"/>
          </w:tcPr>
          <w:p w14:paraId="52110810" w14:textId="77777777" w:rsidR="00146977" w:rsidRDefault="00146977"/>
          <w:p w14:paraId="726F3A75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3703CCA1" w14:textId="77777777" w:rsidR="00146977" w:rsidRDefault="0000000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cung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tờ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Tem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):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2"/>
        <w:gridCol w:w="980"/>
        <w:gridCol w:w="939"/>
      </w:tblGrid>
      <w:tr w:rsidR="00146977" w14:paraId="21EE018C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27CDFCA1" w14:textId="77777777" w:rsidR="00146977" w:rsidRDefault="00146977"/>
          <w:p w14:paraId="2461728C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49743854" w14:textId="77777777" w:rsidR="00146977" w:rsidRDefault="00146977"/>
          <w:p w14:paraId="0AA1D5B2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7D8FC5B5" w14:textId="77777777" w:rsidR="00146977" w:rsidRDefault="00146977"/>
          <w:p w14:paraId="0FA0ABDD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146977" w14:paraId="7B251DE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2BE1D8B" w14:textId="77777777" w:rsidR="00146977" w:rsidRDefault="00146977"/>
          <w:p w14:paraId="1280347E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5B6A74D4" w14:textId="77777777" w:rsidR="00146977" w:rsidRDefault="00146977"/>
        </w:tc>
        <w:tc>
          <w:tcPr>
            <w:tcW w:w="0" w:type="auto"/>
          </w:tcPr>
          <w:p w14:paraId="1E10C58E" w14:textId="77777777" w:rsidR="00146977" w:rsidRDefault="00146977"/>
          <w:p w14:paraId="04779894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46977" w14:paraId="2B3168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9F8692D" w14:textId="77777777" w:rsidR="00146977" w:rsidRDefault="00146977"/>
          <w:p w14:paraId="29E7C9C7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lắp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);</w:t>
            </w:r>
          </w:p>
        </w:tc>
        <w:tc>
          <w:tcPr>
            <w:tcW w:w="0" w:type="auto"/>
          </w:tcPr>
          <w:p w14:paraId="3C349662" w14:textId="77777777" w:rsidR="00146977" w:rsidRDefault="00146977"/>
        </w:tc>
        <w:tc>
          <w:tcPr>
            <w:tcW w:w="0" w:type="auto"/>
          </w:tcPr>
          <w:p w14:paraId="487A0531" w14:textId="77777777" w:rsidR="00146977" w:rsidRDefault="00146977"/>
          <w:p w14:paraId="0C260F9B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146977" w14:paraId="6376DC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19142BA" w14:textId="77777777" w:rsidR="00146977" w:rsidRDefault="00146977"/>
          <w:p w14:paraId="5CB99BE1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579DFD6C" w14:textId="77777777" w:rsidR="00146977" w:rsidRDefault="00146977"/>
        </w:tc>
        <w:tc>
          <w:tcPr>
            <w:tcW w:w="0" w:type="auto"/>
          </w:tcPr>
          <w:p w14:paraId="63100DA5" w14:textId="77777777" w:rsidR="00146977" w:rsidRDefault="00146977"/>
          <w:p w14:paraId="79E864FB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46977" w14:paraId="72DDA2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1F818AA" w14:textId="77777777" w:rsidR="00146977" w:rsidRDefault="00146977"/>
          <w:p w14:paraId="05D70CE0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miễn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5 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16/2021/TT-BGTVT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bởi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 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02/2023/TT-BGTVT);</w:t>
            </w:r>
          </w:p>
        </w:tc>
        <w:tc>
          <w:tcPr>
            <w:tcW w:w="0" w:type="auto"/>
          </w:tcPr>
          <w:p w14:paraId="26159C0F" w14:textId="77777777" w:rsidR="00146977" w:rsidRDefault="00146977"/>
        </w:tc>
        <w:tc>
          <w:tcPr>
            <w:tcW w:w="0" w:type="auto"/>
          </w:tcPr>
          <w:p w14:paraId="2610A525" w14:textId="77777777" w:rsidR="00146977" w:rsidRDefault="00146977"/>
          <w:p w14:paraId="679C5109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46977" w14:paraId="44779EA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BBE7F0F" w14:textId="77777777" w:rsidR="00146977" w:rsidRDefault="00146977"/>
          <w:p w14:paraId="161D3CE4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Khai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dõi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7AB5B384" w14:textId="77777777" w:rsidR="00146977" w:rsidRDefault="00146977"/>
          <w:p w14:paraId="27B4D41A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1.docx</w:t>
            </w:r>
          </w:p>
        </w:tc>
        <w:tc>
          <w:tcPr>
            <w:tcW w:w="0" w:type="auto"/>
          </w:tcPr>
          <w:p w14:paraId="5F39BABE" w14:textId="77777777" w:rsidR="00146977" w:rsidRDefault="00146977"/>
          <w:p w14:paraId="44BDE7EF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46977" w14:paraId="7029B8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C0E5CE9" w14:textId="77777777" w:rsidR="00146977" w:rsidRDefault="00146977"/>
          <w:p w14:paraId="0E0F343C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Thông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camera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lắp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camera;</w:t>
            </w:r>
          </w:p>
        </w:tc>
        <w:tc>
          <w:tcPr>
            <w:tcW w:w="0" w:type="auto"/>
          </w:tcPr>
          <w:p w14:paraId="78539040" w14:textId="77777777" w:rsidR="00146977" w:rsidRDefault="00146977"/>
        </w:tc>
        <w:tc>
          <w:tcPr>
            <w:tcW w:w="0" w:type="auto"/>
          </w:tcPr>
          <w:p w14:paraId="38D1D8C4" w14:textId="77777777" w:rsidR="00146977" w:rsidRDefault="00146977"/>
          <w:p w14:paraId="6575B83C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146977" w14:paraId="45C91D9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B8E6305" w14:textId="77777777" w:rsidR="00146977" w:rsidRDefault="00146977"/>
          <w:p w14:paraId="70795C5A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Khai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dõi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7AD8E8F8" w14:textId="77777777" w:rsidR="00146977" w:rsidRDefault="00146977"/>
          <w:p w14:paraId="6E6E7118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1.docx</w:t>
            </w:r>
          </w:p>
        </w:tc>
        <w:tc>
          <w:tcPr>
            <w:tcW w:w="0" w:type="auto"/>
          </w:tcPr>
          <w:p w14:paraId="1DF5A16E" w14:textId="77777777" w:rsidR="00146977" w:rsidRDefault="00146977"/>
          <w:p w14:paraId="733EA83D" w14:textId="77777777" w:rsidR="00146977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4F817715" w14:textId="77777777" w:rsidR="00146977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Công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Việt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Việt Nam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Doanh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Doanh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34C24E2D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Các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</w:p>
    <w:p w14:paraId="1D3DDD41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95DD656" w14:textId="088D7C91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 w:rsidR="00DF3A06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F3A06">
        <w:rPr>
          <w:rFonts w:ascii="Times New Roman" w:eastAsia="Times New Roman" w:hAnsi="Times New Roman" w:cs="Times New Roman"/>
          <w:sz w:val="26"/>
        </w:rPr>
        <w:t>trên</w:t>
      </w:r>
      <w:proofErr w:type="spellEnd"/>
      <w:r w:rsidR="00DF3A06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F3A06">
        <w:rPr>
          <w:rFonts w:ascii="Times New Roman" w:eastAsia="Times New Roman" w:hAnsi="Times New Roman" w:cs="Times New Roman"/>
          <w:sz w:val="26"/>
        </w:rPr>
        <w:t>địa</w:t>
      </w:r>
      <w:proofErr w:type="spellEnd"/>
      <w:r w:rsidR="00DF3A06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DF3A06">
        <w:rPr>
          <w:rFonts w:ascii="Times New Roman" w:eastAsia="Times New Roman" w:hAnsi="Times New Roman" w:cs="Times New Roman"/>
          <w:sz w:val="26"/>
        </w:rPr>
        <w:t>bàn</w:t>
      </w:r>
      <w:proofErr w:type="spellEnd"/>
      <w:r w:rsidR="00DF3A06">
        <w:rPr>
          <w:rFonts w:ascii="Times New Roman" w:eastAsia="Times New Roman" w:hAnsi="Times New Roman" w:cs="Times New Roman"/>
          <w:sz w:val="26"/>
        </w:rPr>
        <w:t xml:space="preserve"> tỉnh</w:t>
      </w:r>
    </w:p>
    <w:p w14:paraId="4FF48545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2A994B6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EBAF27D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14F5A6AA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3231"/>
        <w:gridCol w:w="1382"/>
        <w:gridCol w:w="2683"/>
      </w:tblGrid>
      <w:tr w:rsidR="00146977" w14:paraId="1B495EA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2F0787F9" w14:textId="77777777" w:rsidR="00146977" w:rsidRDefault="00146977"/>
          <w:p w14:paraId="4EF8287C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2135EC66" w14:textId="77777777" w:rsidR="00146977" w:rsidRDefault="00146977"/>
          <w:p w14:paraId="2CBAC63E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1454136A" w14:textId="77777777" w:rsidR="00146977" w:rsidRDefault="00146977"/>
          <w:p w14:paraId="787989A5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69A26B5C" w14:textId="77777777" w:rsidR="00146977" w:rsidRDefault="00146977"/>
          <w:p w14:paraId="16FDA255" w14:textId="77777777" w:rsidR="00146977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146977" w14:paraId="16D992D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C153AE" w14:textId="77777777" w:rsidR="00146977" w:rsidRDefault="00146977"/>
          <w:p w14:paraId="5BB435B1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238/2016/TT-BTC</w:t>
            </w:r>
          </w:p>
        </w:tc>
        <w:tc>
          <w:tcPr>
            <w:tcW w:w="0" w:type="auto"/>
          </w:tcPr>
          <w:p w14:paraId="2B7CAE54" w14:textId="77777777" w:rsidR="00146977" w:rsidRDefault="00146977"/>
          <w:p w14:paraId="69389CFD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238/2016/TT-BTC</w:t>
            </w:r>
          </w:p>
        </w:tc>
        <w:tc>
          <w:tcPr>
            <w:tcW w:w="0" w:type="auto"/>
          </w:tcPr>
          <w:p w14:paraId="3BEB72E6" w14:textId="77777777" w:rsidR="00146977" w:rsidRDefault="00146977"/>
          <w:p w14:paraId="52A3A4FD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11-11-2016</w:t>
            </w:r>
          </w:p>
        </w:tc>
        <w:tc>
          <w:tcPr>
            <w:tcW w:w="0" w:type="auto"/>
          </w:tcPr>
          <w:p w14:paraId="6AFD6A08" w14:textId="77777777" w:rsidR="00146977" w:rsidRDefault="00146977"/>
        </w:tc>
      </w:tr>
      <w:tr w:rsidR="00146977" w14:paraId="70CA6B4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3E42019" w14:textId="77777777" w:rsidR="00146977" w:rsidRDefault="00146977"/>
          <w:p w14:paraId="51B02391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199/2016/TT-BTC</w:t>
            </w:r>
          </w:p>
        </w:tc>
        <w:tc>
          <w:tcPr>
            <w:tcW w:w="0" w:type="auto"/>
          </w:tcPr>
          <w:p w14:paraId="6D514C43" w14:textId="77777777" w:rsidR="00146977" w:rsidRDefault="00146977"/>
          <w:p w14:paraId="62E79754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199/2016/TT-BTC</w:t>
            </w:r>
          </w:p>
        </w:tc>
        <w:tc>
          <w:tcPr>
            <w:tcW w:w="0" w:type="auto"/>
          </w:tcPr>
          <w:p w14:paraId="69A56E6B" w14:textId="77777777" w:rsidR="00146977" w:rsidRDefault="00146977"/>
          <w:p w14:paraId="0A89F736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08-11-2016</w:t>
            </w:r>
          </w:p>
        </w:tc>
        <w:tc>
          <w:tcPr>
            <w:tcW w:w="0" w:type="auto"/>
          </w:tcPr>
          <w:p w14:paraId="69DD7B27" w14:textId="77777777" w:rsidR="00146977" w:rsidRDefault="00146977"/>
        </w:tc>
      </w:tr>
      <w:tr w:rsidR="00146977" w14:paraId="0D3BEB3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08229AF" w14:textId="77777777" w:rsidR="00146977" w:rsidRDefault="00146977"/>
          <w:p w14:paraId="3C85DC8A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16/2021/TT-BGTVT</w:t>
            </w:r>
          </w:p>
        </w:tc>
        <w:tc>
          <w:tcPr>
            <w:tcW w:w="0" w:type="auto"/>
          </w:tcPr>
          <w:p w14:paraId="766A7C49" w14:textId="77777777" w:rsidR="00146977" w:rsidRDefault="00146977"/>
          <w:p w14:paraId="6E2EFAC5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16/2021/TT-BGTVT</w:t>
            </w:r>
          </w:p>
        </w:tc>
        <w:tc>
          <w:tcPr>
            <w:tcW w:w="0" w:type="auto"/>
          </w:tcPr>
          <w:p w14:paraId="1B575A52" w14:textId="77777777" w:rsidR="00146977" w:rsidRDefault="00146977"/>
          <w:p w14:paraId="0130ADEC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12-08-2021</w:t>
            </w:r>
          </w:p>
        </w:tc>
        <w:tc>
          <w:tcPr>
            <w:tcW w:w="0" w:type="auto"/>
          </w:tcPr>
          <w:p w14:paraId="438CD7B4" w14:textId="77777777" w:rsidR="00146977" w:rsidRDefault="00146977"/>
        </w:tc>
      </w:tr>
      <w:tr w:rsidR="00146977" w14:paraId="571AD0E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EBC2FBE" w14:textId="77777777" w:rsidR="00146977" w:rsidRDefault="00146977"/>
          <w:p w14:paraId="248068C9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55/2022/TT-BTC</w:t>
            </w:r>
          </w:p>
        </w:tc>
        <w:tc>
          <w:tcPr>
            <w:tcW w:w="0" w:type="auto"/>
          </w:tcPr>
          <w:p w14:paraId="6D40BBE9" w14:textId="77777777" w:rsidR="00146977" w:rsidRDefault="00146977"/>
          <w:p w14:paraId="6775D221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55/2022/TT-BTC</w:t>
            </w:r>
          </w:p>
        </w:tc>
        <w:tc>
          <w:tcPr>
            <w:tcW w:w="0" w:type="auto"/>
          </w:tcPr>
          <w:p w14:paraId="2E0B18D3" w14:textId="77777777" w:rsidR="00146977" w:rsidRDefault="00146977"/>
          <w:p w14:paraId="7AC43283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24-08-2022</w:t>
            </w:r>
          </w:p>
        </w:tc>
        <w:tc>
          <w:tcPr>
            <w:tcW w:w="0" w:type="auto"/>
          </w:tcPr>
          <w:p w14:paraId="53D2BFF4" w14:textId="77777777" w:rsidR="00146977" w:rsidRDefault="00146977"/>
        </w:tc>
      </w:tr>
      <w:tr w:rsidR="00146977" w14:paraId="08BA117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ACDF368" w14:textId="77777777" w:rsidR="00146977" w:rsidRDefault="00146977"/>
          <w:p w14:paraId="09FFB86C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36/2022/TT-BTC</w:t>
            </w:r>
          </w:p>
        </w:tc>
        <w:tc>
          <w:tcPr>
            <w:tcW w:w="0" w:type="auto"/>
          </w:tcPr>
          <w:p w14:paraId="3252C055" w14:textId="77777777" w:rsidR="00146977" w:rsidRDefault="00146977"/>
          <w:p w14:paraId="2BA94017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36/2022/TT-BTC</w:t>
            </w:r>
          </w:p>
        </w:tc>
        <w:tc>
          <w:tcPr>
            <w:tcW w:w="0" w:type="auto"/>
          </w:tcPr>
          <w:p w14:paraId="170C8993" w14:textId="77777777" w:rsidR="00146977" w:rsidRDefault="00146977"/>
          <w:p w14:paraId="5706905C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16-06-2022</w:t>
            </w:r>
          </w:p>
        </w:tc>
        <w:tc>
          <w:tcPr>
            <w:tcW w:w="0" w:type="auto"/>
          </w:tcPr>
          <w:p w14:paraId="31DD0FF6" w14:textId="77777777" w:rsidR="00146977" w:rsidRDefault="00146977"/>
        </w:tc>
      </w:tr>
      <w:tr w:rsidR="00146977" w14:paraId="1BE6A7A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53D6F9A" w14:textId="77777777" w:rsidR="00146977" w:rsidRDefault="00146977"/>
          <w:p w14:paraId="00EF5193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02/2023/TT-BGTVT</w:t>
            </w:r>
          </w:p>
        </w:tc>
        <w:tc>
          <w:tcPr>
            <w:tcW w:w="0" w:type="auto"/>
          </w:tcPr>
          <w:p w14:paraId="781913B8" w14:textId="77777777" w:rsidR="00146977" w:rsidRDefault="00146977"/>
          <w:p w14:paraId="75167732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Thông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02/2023/TT-BGTVT</w:t>
            </w:r>
          </w:p>
        </w:tc>
        <w:tc>
          <w:tcPr>
            <w:tcW w:w="0" w:type="auto"/>
          </w:tcPr>
          <w:p w14:paraId="79E7C08E" w14:textId="77777777" w:rsidR="00146977" w:rsidRDefault="00146977"/>
          <w:p w14:paraId="4AD3107B" w14:textId="77777777" w:rsidR="00146977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21-03-2023</w:t>
            </w:r>
          </w:p>
        </w:tc>
        <w:tc>
          <w:tcPr>
            <w:tcW w:w="0" w:type="auto"/>
          </w:tcPr>
          <w:p w14:paraId="1E2C1321" w14:textId="77777777" w:rsidR="00146977" w:rsidRDefault="00146977"/>
        </w:tc>
      </w:tr>
    </w:tbl>
    <w:p w14:paraId="7ABAF3F4" w14:textId="77777777" w:rsidR="00146977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Xe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xưởng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lắp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Thông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miễn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chất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khẩu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 “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”;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đảm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an </w:t>
      </w:r>
      <w:proofErr w:type="spellStart"/>
      <w:r>
        <w:rPr>
          <w:rFonts w:ascii="Times New Roman" w:eastAsia="Times New Roman" w:hAnsi="Times New Roman" w:cs="Times New Roman"/>
          <w:sz w:val="26"/>
        </w:rPr>
        <w:t>ninh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mỏ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tai,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bệnh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</w:p>
    <w:p w14:paraId="712DD79E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06B5AB88" w14:textId="77777777" w:rsidR="00146977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146977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77"/>
    <w:rsid w:val="00146977"/>
    <w:rsid w:val="00D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2214"/>
  <w15:docId w15:val="{C5CD397C-A124-49B7-BE5E-631088EE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0A532DF-D02A-4FCA-8061-D34500CC074D}"/>
</file>

<file path=customXml/itemProps2.xml><?xml version="1.0" encoding="utf-8"?>
<ds:datastoreItem xmlns:ds="http://schemas.openxmlformats.org/officeDocument/2006/customXml" ds:itemID="{194781F6-4248-45A1-B1BF-501CAFE48908}"/>
</file>

<file path=customXml/itemProps3.xml><?xml version="1.0" encoding="utf-8"?>
<ds:datastoreItem xmlns:ds="http://schemas.openxmlformats.org/officeDocument/2006/customXml" ds:itemID="{4100407E-9949-4849-81B3-0840CA69D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2023-11-10T15:57:00Z</dcterms:created>
  <dcterms:modified xsi:type="dcterms:W3CDTF">2023-11-10T15:57:00Z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