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87" w:rsidRPr="006F71A7" w:rsidRDefault="00362787" w:rsidP="00362787">
      <w:pPr>
        <w:ind w:firstLine="720"/>
        <w:rPr>
          <w:rFonts w:eastAsia="Batang"/>
          <w:b/>
          <w:sz w:val="26"/>
          <w:szCs w:val="26"/>
          <w:lang w:eastAsia="ko-KR"/>
        </w:rPr>
      </w:pPr>
      <w:r>
        <w:rPr>
          <w:rFonts w:eastAsia="Batang"/>
          <w:b/>
          <w:sz w:val="26"/>
          <w:szCs w:val="26"/>
          <w:lang w:eastAsia="ko-KR"/>
        </w:rPr>
        <w:t>35</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bCs/>
          <w:spacing w:val="10"/>
          <w:sz w:val="26"/>
          <w:szCs w:val="26"/>
          <w:lang w:eastAsia="ko-KR"/>
        </w:rPr>
        <w:t>cấp</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biển</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hiệu</w:t>
      </w:r>
      <w:proofErr w:type="spellEnd"/>
      <w:r w:rsidRPr="006F71A7">
        <w:rPr>
          <w:rFonts w:eastAsia="Batang"/>
          <w:b/>
          <w:bCs/>
          <w:spacing w:val="10"/>
          <w:sz w:val="26"/>
          <w:szCs w:val="26"/>
          <w:lang w:eastAsia="ko-KR"/>
        </w:rPr>
        <w:t xml:space="preserve"> </w:t>
      </w:r>
      <w:proofErr w:type="spellStart"/>
      <w:proofErr w:type="gramStart"/>
      <w:r w:rsidRPr="006F71A7">
        <w:rPr>
          <w:rFonts w:eastAsia="Batang"/>
          <w:b/>
          <w:bCs/>
          <w:spacing w:val="10"/>
          <w:sz w:val="26"/>
          <w:szCs w:val="26"/>
          <w:lang w:eastAsia="ko-KR"/>
        </w:rPr>
        <w:t>xe</w:t>
      </w:r>
      <w:proofErr w:type="spellEnd"/>
      <w:proofErr w:type="gram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vận</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tải</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khách</w:t>
      </w:r>
      <w:proofErr w:type="spellEnd"/>
      <w:r w:rsidRPr="006F71A7">
        <w:rPr>
          <w:rFonts w:eastAsia="Batang"/>
          <w:b/>
          <w:bCs/>
          <w:spacing w:val="10"/>
          <w:sz w:val="26"/>
          <w:szCs w:val="26"/>
          <w:lang w:eastAsia="ko-KR"/>
        </w:rPr>
        <w:t xml:space="preserve"> du </w:t>
      </w:r>
      <w:proofErr w:type="spellStart"/>
      <w:r w:rsidRPr="006F71A7">
        <w:rPr>
          <w:rFonts w:eastAsia="Batang"/>
          <w:b/>
          <w:bCs/>
          <w:spacing w:val="10"/>
          <w:sz w:val="26"/>
          <w:szCs w:val="26"/>
          <w:lang w:eastAsia="ko-KR"/>
        </w:rPr>
        <w:t>lịch</w:t>
      </w:r>
      <w:proofErr w:type="spellEnd"/>
    </w:p>
    <w:p w:rsidR="00362787" w:rsidRPr="006F71A7" w:rsidRDefault="00362787" w:rsidP="0036278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35</w:t>
      </w:r>
      <w:r w:rsidRPr="006F71A7">
        <w:rPr>
          <w:rFonts w:eastAsia="Batang"/>
          <w:b/>
          <w:sz w:val="26"/>
          <w:szCs w:val="26"/>
          <w:lang w:val="nl-NL" w:eastAsia="ko-KR"/>
        </w:rPr>
        <w:t>.1 Trình tự thực hiện:</w:t>
      </w:r>
    </w:p>
    <w:p w:rsidR="00362787" w:rsidRDefault="00362787" w:rsidP="00362787">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362787" w:rsidRPr="006F71A7" w:rsidRDefault="00362787" w:rsidP="00362787">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362787" w:rsidRPr="006F71A7" w:rsidRDefault="00362787" w:rsidP="0036278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362787" w:rsidRPr="006F71A7" w:rsidRDefault="00362787" w:rsidP="0036278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362787" w:rsidRDefault="00362787" w:rsidP="0036278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362787" w:rsidRDefault="00362787" w:rsidP="00362787">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362787" w:rsidRDefault="00362787" w:rsidP="00362787">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362787" w:rsidRPr="006F71A7" w:rsidRDefault="00362787" w:rsidP="00362787">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362787" w:rsidRDefault="00362787" w:rsidP="00362787">
      <w:pPr>
        <w:spacing w:before="40" w:after="40" w:line="266" w:lineRule="auto"/>
        <w:ind w:firstLine="720"/>
        <w:jc w:val="both"/>
        <w:rPr>
          <w:rFonts w:eastAsia="Batang"/>
          <w:sz w:val="26"/>
          <w:szCs w:val="26"/>
          <w:lang w:val="nl-NL" w:eastAsia="ko-KR"/>
        </w:rPr>
      </w:pPr>
      <w:r>
        <w:rPr>
          <w:rFonts w:eastAsia="Batang"/>
          <w:b/>
          <w:sz w:val="26"/>
          <w:szCs w:val="26"/>
          <w:lang w:val="nl-NL" w:eastAsia="ko-KR"/>
        </w:rPr>
        <w:t>35</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362787" w:rsidRDefault="00362787" w:rsidP="00362787">
      <w:pPr>
        <w:spacing w:before="40"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trực tuyến hoặc qua hệ thống bưu chính. </w:t>
      </w:r>
    </w:p>
    <w:p w:rsidR="00362787" w:rsidRPr="006F71A7" w:rsidRDefault="00362787" w:rsidP="0036278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35</w:t>
      </w:r>
      <w:r w:rsidRPr="006F71A7">
        <w:rPr>
          <w:rFonts w:eastAsia="Batang"/>
          <w:b/>
          <w:sz w:val="26"/>
          <w:szCs w:val="26"/>
          <w:lang w:val="nl-NL" w:eastAsia="ko-KR"/>
        </w:rPr>
        <w:t>.3 Thành phần, số lượng hồ sơ:</w:t>
      </w:r>
    </w:p>
    <w:p w:rsidR="00362787" w:rsidRPr="006F71A7" w:rsidRDefault="00362787" w:rsidP="00362787">
      <w:pPr>
        <w:spacing w:before="40" w:after="40" w:line="266" w:lineRule="auto"/>
        <w:jc w:val="both"/>
        <w:rPr>
          <w:rFonts w:eastAsia="Batang"/>
          <w:sz w:val="26"/>
          <w:szCs w:val="26"/>
          <w:lang w:val="nl-NL" w:eastAsia="ko-KR"/>
        </w:rPr>
      </w:pPr>
      <w:r w:rsidRPr="006F71A7">
        <w:rPr>
          <w:rFonts w:eastAsia="Batang"/>
          <w:sz w:val="26"/>
          <w:szCs w:val="26"/>
          <w:lang w:val="nl-NL" w:eastAsia="ko-KR"/>
        </w:rPr>
        <w:tab/>
        <w:t>* Thành phần:</w:t>
      </w:r>
    </w:p>
    <w:p w:rsidR="00362787" w:rsidRPr="00D50904" w:rsidRDefault="00362787" w:rsidP="00362787">
      <w:pPr>
        <w:shd w:val="clear" w:color="auto" w:fill="FFFFFF"/>
        <w:spacing w:line="360" w:lineRule="atLeast"/>
        <w:ind w:firstLine="720"/>
        <w:jc w:val="both"/>
        <w:rPr>
          <w:color w:val="010101"/>
          <w:sz w:val="26"/>
          <w:szCs w:val="26"/>
          <w:lang w:val="nl-NL"/>
        </w:rPr>
      </w:pPr>
      <w:r w:rsidRPr="00D50904">
        <w:rPr>
          <w:color w:val="010101"/>
          <w:sz w:val="26"/>
          <w:szCs w:val="26"/>
          <w:lang w:val="nl-NL"/>
        </w:rPr>
        <w:t>a) Giấy đề nghị cấp biển hiệu xe vận tải khách du lịch theo mẫu quy định tại Phụ lục 21a</w:t>
      </w:r>
      <w:r>
        <w:rPr>
          <w:color w:val="010101"/>
          <w:sz w:val="26"/>
          <w:szCs w:val="26"/>
          <w:lang w:val="nl-NL"/>
        </w:rPr>
        <w:t xml:space="preserve"> </w:t>
      </w:r>
      <w:r w:rsidRPr="00D50904">
        <w:rPr>
          <w:rFonts w:eastAsia="Batang"/>
          <w:bCs/>
          <w:i/>
          <w:color w:val="000000"/>
          <w:sz w:val="26"/>
          <w:szCs w:val="26"/>
          <w:lang w:val="vi-VN" w:eastAsia="ko-KR"/>
        </w:rPr>
        <w:t>Ban hành theo Thông tư liên tịch số 19/TTLT-BGTVT-BVHTTDL ngày 25 tháng 5 năm 2015 của Bộ trưởng Bộ Giao thông vận tải và Bộ trưởng Bộ Văn hoá, Thể thao và Du lịch</w:t>
      </w:r>
      <w:r w:rsidRPr="00D50904">
        <w:rPr>
          <w:color w:val="010101"/>
          <w:sz w:val="26"/>
          <w:szCs w:val="26"/>
          <w:lang w:val="nl-NL"/>
        </w:rPr>
        <w:t>;</w:t>
      </w:r>
    </w:p>
    <w:p w:rsidR="00362787" w:rsidRDefault="00362787" w:rsidP="00362787">
      <w:pPr>
        <w:shd w:val="clear" w:color="auto" w:fill="FFFFFF"/>
        <w:spacing w:line="360" w:lineRule="atLeast"/>
        <w:ind w:firstLine="720"/>
        <w:jc w:val="both"/>
        <w:rPr>
          <w:color w:val="010101"/>
          <w:sz w:val="26"/>
          <w:szCs w:val="26"/>
          <w:lang w:val="nl-NL"/>
        </w:rPr>
      </w:pPr>
      <w:r w:rsidRPr="00D50904">
        <w:rPr>
          <w:color w:val="010101"/>
          <w:sz w:val="26"/>
          <w:szCs w:val="26"/>
          <w:lang w:val="nl-NL"/>
        </w:rPr>
        <w:t>b) Bảng kê thông tin và trang thiết bị của phương tiện. B</w:t>
      </w:r>
      <w:r>
        <w:rPr>
          <w:color w:val="010101"/>
          <w:sz w:val="26"/>
          <w:szCs w:val="26"/>
          <w:lang w:val="nl-NL"/>
        </w:rPr>
        <w:t xml:space="preserve">ảng kê theo mẫu quy định tạ </w:t>
      </w:r>
      <w:r w:rsidRPr="00D50904">
        <w:rPr>
          <w:color w:val="010101"/>
          <w:sz w:val="26"/>
          <w:szCs w:val="26"/>
          <w:lang w:val="nl-NL"/>
        </w:rPr>
        <w:t>Phụ lục 21b</w:t>
      </w:r>
      <w:r>
        <w:rPr>
          <w:color w:val="010101"/>
          <w:sz w:val="26"/>
          <w:szCs w:val="26"/>
          <w:lang w:val="nl-NL"/>
        </w:rPr>
        <w:t xml:space="preserve"> </w:t>
      </w:r>
      <w:r w:rsidRPr="00D50904">
        <w:rPr>
          <w:rFonts w:eastAsia="Batang"/>
          <w:bCs/>
          <w:i/>
          <w:color w:val="000000"/>
          <w:sz w:val="26"/>
          <w:szCs w:val="26"/>
          <w:lang w:val="vi-VN" w:eastAsia="ko-KR"/>
        </w:rPr>
        <w:t>Ban hành theo Thông tư liên tịch số 19/TTLT-BGTVT-BVHTTDL ngày 25 tháng 5 năm 2015 của Bộ trưởng Bộ Giao thông vận tải và Bộ trưởng Bộ Văn hoá, Thể thao và Du lịch</w:t>
      </w:r>
      <w:r w:rsidRPr="00D50904">
        <w:rPr>
          <w:color w:val="010101"/>
          <w:sz w:val="26"/>
          <w:szCs w:val="26"/>
          <w:lang w:val="nl-NL"/>
        </w:rPr>
        <w:t xml:space="preserve"> </w:t>
      </w:r>
    </w:p>
    <w:p w:rsidR="00362787" w:rsidRPr="00D50904" w:rsidRDefault="00362787" w:rsidP="00362787">
      <w:pPr>
        <w:shd w:val="clear" w:color="auto" w:fill="FFFFFF"/>
        <w:spacing w:line="360" w:lineRule="atLeast"/>
        <w:ind w:firstLine="720"/>
        <w:jc w:val="both"/>
        <w:rPr>
          <w:color w:val="010101"/>
          <w:sz w:val="26"/>
          <w:szCs w:val="26"/>
          <w:lang w:val="nl-NL"/>
        </w:rPr>
      </w:pPr>
      <w:r w:rsidRPr="00D50904">
        <w:rPr>
          <w:color w:val="010101"/>
          <w:sz w:val="26"/>
          <w:szCs w:val="26"/>
          <w:lang w:val="nl-NL"/>
        </w:rPr>
        <w:t xml:space="preserve">c)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thuê phương tiện giữa các thành viên và hợp tác xã nếu xe không thuộc sở hữu của đơn vị kinh doanh vận tải.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w:t>
      </w:r>
      <w:r w:rsidRPr="00D50904">
        <w:rPr>
          <w:color w:val="010101"/>
          <w:sz w:val="26"/>
          <w:szCs w:val="26"/>
          <w:lang w:val="nl-NL"/>
        </w:rPr>
        <w:lastRenderedPageBreak/>
        <w:t>vận tải của Sở Giao thông vận tải địa phương nơi phương tiện mang biển số đăng ký theo quy định;</w:t>
      </w:r>
    </w:p>
    <w:p w:rsidR="00362787" w:rsidRPr="00D50904" w:rsidRDefault="00362787" w:rsidP="00362787">
      <w:pPr>
        <w:shd w:val="clear" w:color="auto" w:fill="FFFFFF"/>
        <w:spacing w:line="360" w:lineRule="atLeast"/>
        <w:ind w:firstLine="720"/>
        <w:jc w:val="both"/>
        <w:rPr>
          <w:color w:val="010101"/>
          <w:sz w:val="26"/>
          <w:szCs w:val="26"/>
          <w:lang w:val="nl-NL"/>
        </w:rPr>
      </w:pPr>
      <w:r w:rsidRPr="00D50904">
        <w:rPr>
          <w:color w:val="010101"/>
          <w:sz w:val="26"/>
          <w:szCs w:val="26"/>
          <w:lang w:val="nl-NL"/>
        </w:rPr>
        <w:t>d) Cung cấp tên Trang thông tin điện tử của đơn vị kinh doanh vận tải, tên đăng nhập, mật khẩu truy cập vào thiết bị giám sát hành trình của các xe đề nghị cấp biển hiệu;</w:t>
      </w:r>
    </w:p>
    <w:p w:rsidR="00362787" w:rsidRPr="00D50904" w:rsidRDefault="00362787" w:rsidP="00362787">
      <w:pPr>
        <w:shd w:val="clear" w:color="auto" w:fill="FFFFFF"/>
        <w:spacing w:line="360" w:lineRule="atLeast"/>
        <w:ind w:firstLine="720"/>
        <w:jc w:val="both"/>
        <w:rPr>
          <w:color w:val="010101"/>
          <w:sz w:val="26"/>
          <w:szCs w:val="26"/>
          <w:lang w:val="nl-NL"/>
        </w:rPr>
      </w:pPr>
      <w:r w:rsidRPr="00D50904">
        <w:rPr>
          <w:color w:val="010101"/>
          <w:sz w:val="26"/>
          <w:szCs w:val="26"/>
          <w:lang w:val="nl-NL"/>
        </w:rPr>
        <w:t>đ) Bản sao kèm bản chính để đối chiếu hoặc bản sao có chứng thực: Giấy chứng nhận tập huấn nghiệp vụ du lịch của lái xe, nhân viên phục vụ trên xe hoặc Thẻ hướng dẫn viên du lịch hoặc Thẻ thuyết minh viên du lịch (đối với trường hợp nhân viên phục vụ trên xe có Thẻ hướng dẫn viên du lịch hoặc thuyết minh viên); Giấy chứng nhận tập huấn nghiệp vụ vận tải của lái xe, nhân viên phục vụ trên xe.</w:t>
      </w:r>
    </w:p>
    <w:p w:rsidR="00362787" w:rsidRPr="006F71A7" w:rsidRDefault="00362787" w:rsidP="00362787">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xml:space="preserve"> * Số lượng: 01 bộ</w:t>
      </w:r>
    </w:p>
    <w:p w:rsidR="00362787" w:rsidRPr="006F71A7" w:rsidRDefault="00362787" w:rsidP="00362787">
      <w:pPr>
        <w:spacing w:before="40"/>
        <w:ind w:firstLine="720"/>
        <w:jc w:val="both"/>
        <w:rPr>
          <w:rFonts w:eastAsia="Batang"/>
          <w:sz w:val="26"/>
          <w:szCs w:val="26"/>
          <w:lang w:val="nl-NL" w:eastAsia="ko-KR"/>
        </w:rPr>
      </w:pPr>
      <w:r>
        <w:rPr>
          <w:rFonts w:eastAsia="Batang"/>
          <w:b/>
          <w:sz w:val="26"/>
          <w:szCs w:val="26"/>
          <w:lang w:val="nl-NL" w:eastAsia="ko-KR"/>
        </w:rPr>
        <w:t>35</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p>
    <w:p w:rsidR="00362787" w:rsidRPr="00D50904" w:rsidRDefault="00362787" w:rsidP="00362787">
      <w:pPr>
        <w:shd w:val="clear" w:color="auto" w:fill="FFFFFF"/>
        <w:ind w:firstLine="720"/>
        <w:jc w:val="both"/>
        <w:rPr>
          <w:color w:val="010101"/>
          <w:sz w:val="26"/>
          <w:szCs w:val="26"/>
          <w:lang w:val="nl-NL"/>
        </w:rPr>
      </w:pPr>
      <w:r w:rsidRPr="00D50904">
        <w:rPr>
          <w:color w:val="010101"/>
          <w:sz w:val="26"/>
          <w:szCs w:val="26"/>
          <w:lang w:val="nl-NL"/>
        </w:rPr>
        <w:t xml:space="preserve">Tổng thời gian giải quyết không quá </w:t>
      </w:r>
      <w:r w:rsidRPr="00045F2C">
        <w:rPr>
          <w:color w:val="FF0000"/>
          <w:sz w:val="26"/>
          <w:szCs w:val="26"/>
          <w:lang w:val="nl-NL"/>
        </w:rPr>
        <w:t>05</w:t>
      </w:r>
      <w:r w:rsidRPr="00D50904">
        <w:rPr>
          <w:color w:val="010101"/>
          <w:sz w:val="26"/>
          <w:szCs w:val="26"/>
          <w:lang w:val="nl-NL"/>
        </w:rPr>
        <w:t xml:space="preserve"> (mười) ngày làm việc, trong đó:</w:t>
      </w:r>
    </w:p>
    <w:p w:rsidR="00362787" w:rsidRPr="00D50904" w:rsidRDefault="00362787" w:rsidP="00362787">
      <w:pPr>
        <w:shd w:val="clear" w:color="auto" w:fill="FFFFFF"/>
        <w:ind w:firstLine="720"/>
        <w:jc w:val="both"/>
        <w:rPr>
          <w:color w:val="010101"/>
          <w:sz w:val="26"/>
          <w:szCs w:val="26"/>
          <w:lang w:val="nl-NL"/>
        </w:rPr>
      </w:pPr>
      <w:r w:rsidRPr="00D50904">
        <w:rPr>
          <w:color w:val="010101"/>
          <w:sz w:val="26"/>
          <w:szCs w:val="26"/>
          <w:lang w:val="nl-NL"/>
        </w:rPr>
        <w:t xml:space="preserve">a) Thời gian kiểm tra hồ sơ, ban hành văn bản, luân chuyển hồ sơ đến Sở Du lịch để lấy ý kiến xác nhận tại Sở Giao thông vận tải: Không quá </w:t>
      </w:r>
      <w:r w:rsidRPr="00045F2C">
        <w:rPr>
          <w:b/>
          <w:color w:val="FF0000"/>
          <w:sz w:val="26"/>
          <w:szCs w:val="26"/>
          <w:lang w:val="nl-NL"/>
        </w:rPr>
        <w:t>03</w:t>
      </w:r>
      <w:r w:rsidRPr="00D50904">
        <w:rPr>
          <w:color w:val="010101"/>
          <w:sz w:val="26"/>
          <w:szCs w:val="26"/>
          <w:lang w:val="nl-NL"/>
        </w:rPr>
        <w:t xml:space="preserve"> (ba) ngày làm việc, kể từ ngày nhận đủ hồ sơ theo quy định;</w:t>
      </w:r>
    </w:p>
    <w:p w:rsidR="00362787" w:rsidRPr="00D50904" w:rsidRDefault="00362787" w:rsidP="00362787">
      <w:pPr>
        <w:shd w:val="clear" w:color="auto" w:fill="FFFFFF"/>
        <w:ind w:firstLine="720"/>
        <w:jc w:val="both"/>
        <w:rPr>
          <w:color w:val="010101"/>
          <w:sz w:val="26"/>
          <w:szCs w:val="26"/>
          <w:lang w:val="nl-NL"/>
        </w:rPr>
      </w:pPr>
      <w:r w:rsidRPr="00D50904">
        <w:rPr>
          <w:color w:val="010101"/>
          <w:sz w:val="26"/>
          <w:szCs w:val="26"/>
          <w:lang w:val="nl-NL"/>
        </w:rPr>
        <w:t xml:space="preserve">b) Thời gian kiểm tra hồ sơ, tổ chức kiểm tra phương tiện (kiểm tra tại đơn vị kinh doanh vận tải), ban hành văn bản trả lời tại Sở Du lịch: Không quá </w:t>
      </w:r>
      <w:r w:rsidRPr="00045F2C">
        <w:rPr>
          <w:b/>
          <w:color w:val="FF0000"/>
          <w:sz w:val="26"/>
          <w:szCs w:val="26"/>
          <w:lang w:val="nl-NL"/>
        </w:rPr>
        <w:t>05</w:t>
      </w:r>
      <w:r w:rsidRPr="00D50904">
        <w:rPr>
          <w:color w:val="010101"/>
          <w:sz w:val="26"/>
          <w:szCs w:val="26"/>
          <w:lang w:val="nl-NL"/>
        </w:rPr>
        <w:t xml:space="preserve"> ngày làm việc, kể từ ngày nhận được văn bản lấy ý kiến của Sở Giao thông vận tải;</w:t>
      </w:r>
    </w:p>
    <w:p w:rsidR="00362787" w:rsidRPr="00D50904" w:rsidRDefault="00362787" w:rsidP="00362787">
      <w:pPr>
        <w:shd w:val="clear" w:color="auto" w:fill="FFFFFF"/>
        <w:ind w:firstLine="720"/>
        <w:jc w:val="both"/>
        <w:rPr>
          <w:color w:val="010101"/>
          <w:sz w:val="26"/>
          <w:szCs w:val="26"/>
          <w:lang w:val="nl-NL"/>
        </w:rPr>
      </w:pPr>
      <w:r w:rsidRPr="00D50904">
        <w:rPr>
          <w:color w:val="010101"/>
          <w:sz w:val="26"/>
          <w:szCs w:val="26"/>
          <w:lang w:val="nl-NL"/>
        </w:rPr>
        <w:t xml:space="preserve">c) Thời gian giải quyết cấp biển hiệu xe ô tô vận chuyển khách du lịch tại Sở Giao thông vận tải: Không quá </w:t>
      </w:r>
      <w:r w:rsidRPr="00045F2C">
        <w:rPr>
          <w:b/>
          <w:color w:val="FF0000"/>
          <w:sz w:val="26"/>
          <w:szCs w:val="26"/>
          <w:lang w:val="nl-NL"/>
        </w:rPr>
        <w:t>02</w:t>
      </w:r>
      <w:r w:rsidRPr="00D50904">
        <w:rPr>
          <w:color w:val="010101"/>
          <w:sz w:val="26"/>
          <w:szCs w:val="26"/>
          <w:lang w:val="nl-NL"/>
        </w:rPr>
        <w:t xml:space="preserve"> (hai) ngày làm việc kể từ ngày nhận được văn bản trả lời của Sở Du lịch hoặc kể từ ngày hết thời gian quy định xin ý kiến.</w:t>
      </w:r>
    </w:p>
    <w:p w:rsidR="00362787" w:rsidRPr="006F71A7" w:rsidRDefault="00362787" w:rsidP="00362787">
      <w:pPr>
        <w:spacing w:before="40"/>
        <w:ind w:firstLine="720"/>
        <w:jc w:val="both"/>
        <w:rPr>
          <w:rFonts w:eastAsia="Batang"/>
          <w:sz w:val="26"/>
          <w:szCs w:val="26"/>
          <w:lang w:val="nl-NL"/>
        </w:rPr>
      </w:pPr>
      <w:r>
        <w:rPr>
          <w:rFonts w:eastAsia="Batang"/>
          <w:b/>
          <w:sz w:val="26"/>
          <w:szCs w:val="26"/>
          <w:lang w:val="nl-NL" w:eastAsia="ko-KR"/>
        </w:rPr>
        <w:t>35</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 cá nhân</w:t>
      </w:r>
    </w:p>
    <w:p w:rsidR="00362787" w:rsidRPr="006F71A7" w:rsidRDefault="00362787" w:rsidP="0036278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35</w:t>
      </w:r>
      <w:r w:rsidRPr="006F71A7">
        <w:rPr>
          <w:rFonts w:eastAsia="Batang"/>
          <w:b/>
          <w:sz w:val="26"/>
          <w:szCs w:val="26"/>
          <w:lang w:val="nl-NL" w:eastAsia="ko-KR"/>
        </w:rPr>
        <w:t xml:space="preserve">.6 Cơ quan thực hiện thủ tục hành chính: </w:t>
      </w:r>
    </w:p>
    <w:p w:rsidR="00362787" w:rsidRPr="006F71A7" w:rsidRDefault="00362787" w:rsidP="00362787">
      <w:pPr>
        <w:spacing w:before="40" w:after="40" w:line="266" w:lineRule="auto"/>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362787" w:rsidRPr="006F71A7" w:rsidRDefault="00362787" w:rsidP="00362787">
      <w:pPr>
        <w:spacing w:before="40" w:after="40" w:line="266" w:lineRule="auto"/>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362787" w:rsidRPr="006F71A7" w:rsidRDefault="00362787" w:rsidP="00362787">
      <w:pPr>
        <w:spacing w:before="40" w:after="40" w:line="266" w:lineRule="auto"/>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362787" w:rsidRPr="00D50904" w:rsidRDefault="00362787" w:rsidP="00362787">
      <w:pPr>
        <w:spacing w:before="40" w:after="40" w:line="266" w:lineRule="auto"/>
        <w:ind w:firstLine="720"/>
        <w:jc w:val="both"/>
        <w:rPr>
          <w:rFonts w:eastAsia="Batang"/>
          <w:color w:val="000000"/>
          <w:sz w:val="26"/>
          <w:szCs w:val="26"/>
          <w:lang w:val="nl-NL" w:eastAsia="ko-KR"/>
        </w:rPr>
      </w:pPr>
      <w:r>
        <w:rPr>
          <w:rFonts w:eastAsia="Batang"/>
          <w:b/>
          <w:sz w:val="26"/>
          <w:szCs w:val="26"/>
          <w:lang w:val="nl-NL" w:eastAsia="ko-KR"/>
        </w:rPr>
        <w:t>35</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D50904">
        <w:rPr>
          <w:rFonts w:eastAsia="Batang"/>
          <w:color w:val="000000"/>
          <w:sz w:val="26"/>
          <w:szCs w:val="26"/>
          <w:lang w:val="nl-NL" w:eastAsia="vi-VN"/>
        </w:rPr>
        <w:t>Biển hiệu “xe ô tô vận chuyển khách du lịch”.</w:t>
      </w:r>
    </w:p>
    <w:p w:rsidR="00362787" w:rsidRPr="00D50904" w:rsidRDefault="00362787" w:rsidP="00362787">
      <w:pPr>
        <w:keepNext/>
        <w:spacing w:before="120"/>
        <w:jc w:val="both"/>
        <w:rPr>
          <w:rFonts w:eastAsia="Batang"/>
          <w:sz w:val="26"/>
          <w:szCs w:val="26"/>
          <w:lang w:val="nl-NL" w:eastAsia="ko-KR"/>
        </w:rPr>
      </w:pPr>
      <w:r w:rsidRPr="006F71A7">
        <w:rPr>
          <w:rFonts w:eastAsia="Batang"/>
          <w:b/>
          <w:sz w:val="26"/>
          <w:szCs w:val="26"/>
          <w:lang w:val="nl-NL" w:eastAsia="ko-KR"/>
        </w:rPr>
        <w:t xml:space="preserve">      </w:t>
      </w:r>
      <w:r w:rsidRPr="006F71A7">
        <w:rPr>
          <w:rFonts w:eastAsia="Batang"/>
          <w:b/>
          <w:sz w:val="26"/>
          <w:szCs w:val="26"/>
          <w:lang w:val="nl-NL" w:eastAsia="ko-KR"/>
        </w:rPr>
        <w:tab/>
      </w:r>
      <w:r>
        <w:rPr>
          <w:rFonts w:eastAsia="Batang"/>
          <w:b/>
          <w:sz w:val="26"/>
          <w:szCs w:val="26"/>
          <w:lang w:val="nl-NL" w:eastAsia="ko-KR"/>
        </w:rPr>
        <w:t>35</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362787" w:rsidRPr="00D50904" w:rsidRDefault="00362787" w:rsidP="00362787">
      <w:pPr>
        <w:spacing w:before="120"/>
        <w:rPr>
          <w:rFonts w:eastAsia="Batang"/>
          <w:bCs/>
          <w:i/>
          <w:color w:val="000000"/>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sidRPr="00A41E91">
        <w:rPr>
          <w:rFonts w:eastAsia="Batang"/>
          <w:b/>
          <w:sz w:val="26"/>
          <w:szCs w:val="26"/>
          <w:lang w:val="nl-NL" w:eastAsia="ko-KR"/>
        </w:rPr>
        <w:t>35</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 xml:space="preserve">Giấy đề nghị cấp biển hiệu theo mẫu quy định tại Phụ lục 21a của Thông </w:t>
      </w:r>
      <w:r w:rsidRPr="00D50904">
        <w:rPr>
          <w:rFonts w:eastAsia="Batang"/>
          <w:color w:val="000000"/>
          <w:sz w:val="26"/>
          <w:szCs w:val="26"/>
          <w:lang w:val="nl-NL" w:eastAsia="ko-KR"/>
        </w:rPr>
        <w:t xml:space="preserve">tư liên tịch số </w:t>
      </w:r>
      <w:r w:rsidRPr="00D50904">
        <w:rPr>
          <w:rFonts w:eastAsia="Batang"/>
          <w:bCs/>
          <w:color w:val="000000"/>
          <w:sz w:val="26"/>
          <w:szCs w:val="26"/>
          <w:lang w:val="nl-NL" w:eastAsia="ko-KR"/>
        </w:rPr>
        <w:t>19/TTLT-BGTVT-BVHTTDL ngày 25 tháng 5 năm 2015 của Bộ trưởng Bộ Giao thông vận tải và Bộ trưởng Bộ Văn hoá, Thể thao và Du lịch.</w:t>
      </w:r>
    </w:p>
    <w:p w:rsidR="00362787" w:rsidRPr="006F71A7" w:rsidRDefault="00362787" w:rsidP="00362787">
      <w:pPr>
        <w:spacing w:before="120" w:after="120" w:line="300" w:lineRule="atLeast"/>
        <w:ind w:firstLine="720"/>
        <w:jc w:val="both"/>
        <w:rPr>
          <w:rFonts w:eastAsia="Batang"/>
          <w:sz w:val="26"/>
          <w:szCs w:val="26"/>
          <w:lang w:val="nl-NL"/>
        </w:rPr>
      </w:pPr>
      <w:r>
        <w:rPr>
          <w:rFonts w:eastAsia="Batang"/>
          <w:b/>
          <w:sz w:val="26"/>
          <w:szCs w:val="26"/>
          <w:lang w:val="nl-NL" w:eastAsia="ko-KR"/>
        </w:rPr>
        <w:t>35</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362787" w:rsidRPr="006F71A7" w:rsidRDefault="00362787" w:rsidP="0036278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35</w:t>
      </w:r>
      <w:r w:rsidRPr="006F71A7">
        <w:rPr>
          <w:rFonts w:eastAsia="Batang"/>
          <w:b/>
          <w:sz w:val="26"/>
          <w:szCs w:val="26"/>
          <w:lang w:val="nl-NL" w:eastAsia="ko-KR"/>
        </w:rPr>
        <w:t>.11 Căn cứ pháp lý của thủ tục hành chính:</w:t>
      </w:r>
    </w:p>
    <w:p w:rsidR="00362787" w:rsidRDefault="00362787" w:rsidP="00362787">
      <w:pPr>
        <w:spacing w:before="60" w:line="300" w:lineRule="atLeast"/>
        <w:jc w:val="both"/>
        <w:rPr>
          <w:rFonts w:eastAsia="Batang"/>
          <w:color w:val="000000"/>
          <w:sz w:val="26"/>
          <w:szCs w:val="26"/>
          <w:lang w:val="nl-NL" w:eastAsia="ko-KR"/>
        </w:rPr>
      </w:pPr>
      <w:r w:rsidRPr="00D50904">
        <w:rPr>
          <w:rFonts w:eastAsia="Batang"/>
          <w:color w:val="000000"/>
          <w:sz w:val="26"/>
          <w:szCs w:val="26"/>
          <w:lang w:val="nl-NL" w:eastAsia="ko-KR"/>
        </w:rPr>
        <w:t>          </w:t>
      </w:r>
      <w:r>
        <w:rPr>
          <w:rFonts w:eastAsia="Batang"/>
          <w:color w:val="000000"/>
          <w:sz w:val="26"/>
          <w:szCs w:val="26"/>
          <w:lang w:val="vi-VN" w:eastAsia="ko-KR"/>
        </w:rPr>
        <w:t> </w:t>
      </w:r>
      <w:r>
        <w:rPr>
          <w:rFonts w:eastAsia="Batang"/>
          <w:color w:val="000000"/>
          <w:sz w:val="26"/>
          <w:szCs w:val="26"/>
          <w:lang w:val="nl-NL" w:eastAsia="ko-KR"/>
        </w:rPr>
        <w:t>+ Nghị định 86/2014/NĐ-CP ngày 10/9/2014 của Chính phủ về kinh doanh và điều kiện kinh doanh vận tải bằng xe ô tô</w:t>
      </w:r>
    </w:p>
    <w:p w:rsidR="00362787" w:rsidRDefault="00362787" w:rsidP="00362787">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362787" w:rsidRDefault="00362787" w:rsidP="00362787">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lastRenderedPageBreak/>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362787" w:rsidRDefault="00362787" w:rsidP="00362787">
      <w:pPr>
        <w:shd w:val="clear" w:color="auto" w:fill="FFFFFF"/>
        <w:spacing w:line="360" w:lineRule="atLeast"/>
        <w:ind w:firstLine="720"/>
        <w:jc w:val="both"/>
        <w:rPr>
          <w:color w:val="010101"/>
          <w:sz w:val="26"/>
          <w:szCs w:val="26"/>
          <w:lang w:val="nl-NL"/>
        </w:rPr>
      </w:pPr>
      <w:r w:rsidRPr="006F71A7">
        <w:rPr>
          <w:rFonts w:eastAsia="Batang"/>
          <w:sz w:val="26"/>
          <w:szCs w:val="26"/>
          <w:lang w:val="pl-PL" w:eastAsia="ko-KR"/>
        </w:rPr>
        <w:t xml:space="preserve">+ </w:t>
      </w:r>
      <w:r w:rsidRPr="00D50904">
        <w:rPr>
          <w:rFonts w:eastAsia="Batang"/>
          <w:bCs/>
          <w:color w:val="000000"/>
          <w:sz w:val="26"/>
          <w:szCs w:val="26"/>
          <w:lang w:val="pl-PL" w:eastAsia="ko-KR"/>
        </w:rPr>
        <w:t>Thông tư liên tịch số 19/TTLT-BGTVT-BVHTTDL ngày 25 tháng 5 năm 2015</w:t>
      </w:r>
      <w:r w:rsidRPr="007E0620">
        <w:rPr>
          <w:rFonts w:eastAsia="Batang"/>
          <w:bCs/>
          <w:i/>
          <w:color w:val="000000"/>
          <w:sz w:val="26"/>
          <w:szCs w:val="26"/>
          <w:lang w:val="vi-VN" w:eastAsia="ko-KR"/>
        </w:rPr>
        <w:t xml:space="preserve"> </w:t>
      </w:r>
      <w:r w:rsidRPr="007E0620">
        <w:rPr>
          <w:rFonts w:eastAsia="Batang"/>
          <w:bCs/>
          <w:color w:val="000000"/>
          <w:sz w:val="26"/>
          <w:szCs w:val="26"/>
          <w:lang w:val="vi-VN" w:eastAsia="ko-KR"/>
        </w:rPr>
        <w:t>của Bộ trưởng Bộ Giao thông vận tải và Bộ trưởng Bộ Văn hoá, Thể thao và Du lịch</w:t>
      </w:r>
      <w:r w:rsidRPr="00D50904">
        <w:rPr>
          <w:color w:val="010101"/>
          <w:sz w:val="26"/>
          <w:szCs w:val="26"/>
          <w:lang w:val="nl-NL"/>
        </w:rPr>
        <w:t xml:space="preserve"> </w:t>
      </w:r>
      <w:r>
        <w:rPr>
          <w:color w:val="010101"/>
          <w:sz w:val="26"/>
          <w:szCs w:val="26"/>
          <w:lang w:val="nl-NL"/>
        </w:rPr>
        <w:t>hướng dẫn về vận tải khách du lịch bằng xe ô tô và cấp biển hiệu cho xe ô tô vận tải khách du lịch</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87"/>
    <w:rsid w:val="00087ECF"/>
    <w:rsid w:val="000F12BD"/>
    <w:rsid w:val="0036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27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2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857ABF-A6C1-4666-B2A5-7454D6129960}"/>
</file>

<file path=customXml/itemProps2.xml><?xml version="1.0" encoding="utf-8"?>
<ds:datastoreItem xmlns:ds="http://schemas.openxmlformats.org/officeDocument/2006/customXml" ds:itemID="{5962B9C2-3AAA-4EE6-852E-D107677EDB2A}"/>
</file>

<file path=customXml/itemProps3.xml><?xml version="1.0" encoding="utf-8"?>
<ds:datastoreItem xmlns:ds="http://schemas.openxmlformats.org/officeDocument/2006/customXml" ds:itemID="{AD4C3B67-1179-4813-871D-4DF6D2492DED}"/>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2017-09-16T13:14:00Z</dcterms:created>
  <dcterms:modified xsi:type="dcterms:W3CDTF">2017-09-16T13:14:00Z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