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6. Đổi GPLX hoặc Bằng lái xe của nước ngoài cho khách du lịch nước ngoài lái xe vào Việt Nam:</w:t>
      </w:r>
    </w:p>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6.1 Trình tự thực hiện:</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số 7, đường Trần Phú, thành phố Phủ Lý.</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nghiên cứu giải quyết hồ sơ trình Lãnh đạo Sở;</w:t>
      </w:r>
    </w:p>
    <w:p w:rsidR="003D551E" w:rsidRDefault="003D551E" w:rsidP="003D551E">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 Trung tâm hành chính công hoặc qua hệ thống bưu chính (nếu có nhu cầu).</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3D551E" w:rsidRPr="006F71A7" w:rsidRDefault="003D551E" w:rsidP="003D551E">
      <w:pPr>
        <w:spacing w:before="40" w:after="40" w:line="266" w:lineRule="auto"/>
        <w:ind w:firstLine="560"/>
        <w:jc w:val="both"/>
        <w:rPr>
          <w:rFonts w:eastAsia="Batang"/>
          <w:sz w:val="26"/>
          <w:szCs w:val="26"/>
          <w:lang w:val="nl-NL" w:eastAsia="ko-KR"/>
        </w:rPr>
      </w:pPr>
      <w:r>
        <w:rPr>
          <w:rFonts w:eastAsia="Batang"/>
          <w:b/>
          <w:sz w:val="26"/>
          <w:szCs w:val="26"/>
          <w:lang w:val="nl-NL" w:eastAsia="ko-KR"/>
        </w:rPr>
        <w:t>6</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 xml:space="preserve">Trung tâm hành chính công tỉnh Hà Nam </w:t>
      </w:r>
    </w:p>
    <w:p w:rsidR="003D551E" w:rsidRPr="006F71A7" w:rsidRDefault="003D551E" w:rsidP="003D551E">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6.3 Thành phần, số lượng hồ sơ:</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a) Đơn đề nghị đổi giấy phép lái xe theo mẫu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b)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c) Bản sao có chứng thực danh sách xuất nhập cảnh của Bộ Công an hoặc bản sao hộ chiếu (phần số hộ chiếu, họ tên và ảnh người được cấp, thời hạn sử dụng và trang thị thực nhập cảnh vào Việt Nam),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d) 01 ảnh cỡ 3x4 nền ảnh màu xanh, kiểu chứng minh nhân dân.</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6.5 Đối tượng thực hiện thủ tục hành chính</w:t>
      </w:r>
      <w:r w:rsidRPr="006F71A7">
        <w:rPr>
          <w:rFonts w:eastAsia="Batang"/>
          <w:sz w:val="26"/>
          <w:szCs w:val="26"/>
          <w:lang w:val="nl-NL" w:eastAsia="ko-KR"/>
        </w:rPr>
        <w:t>: Cá nhân</w:t>
      </w:r>
    </w:p>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6.6 Cơ quan thực hiện thủ tục hành chính: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6.7 Kết quả thực hiện thủ tục hành chính</w:t>
      </w:r>
      <w:r w:rsidRPr="006F71A7">
        <w:rPr>
          <w:rFonts w:eastAsia="Batang"/>
          <w:sz w:val="26"/>
          <w:szCs w:val="26"/>
          <w:lang w:val="nl-NL" w:eastAsia="ko-KR"/>
        </w:rPr>
        <w:t>: Giấy phép lái xe.</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6.8 Lệ phí: 135.000 đồng/GPLX</w:t>
      </w:r>
      <w:r w:rsidRPr="006F71A7">
        <w:rPr>
          <w:rFonts w:eastAsia="Batang"/>
          <w:sz w:val="26"/>
          <w:szCs w:val="26"/>
          <w:lang w:val="nl-NL" w:eastAsia="ko-KR"/>
        </w:rPr>
        <w:t>.</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6.9 Tên mẫu đơn, tờ khai:</w:t>
      </w:r>
      <w:r w:rsidRPr="006F71A7">
        <w:rPr>
          <w:rFonts w:eastAsia="Batang"/>
          <w:sz w:val="26"/>
          <w:szCs w:val="26"/>
          <w:lang w:val="nl-NL" w:eastAsia="ko-KR"/>
        </w:rPr>
        <w:t xml:space="preserve">  Đơn đề nghị đổi giấy phép lái xe theo mẫu.</w:t>
      </w:r>
    </w:p>
    <w:p w:rsidR="003D551E" w:rsidRPr="006F71A7" w:rsidRDefault="003D551E" w:rsidP="003D551E">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6.10 Yêu cầu, điều kiện thực hiện thủ tục hành chính: </w:t>
      </w:r>
    </w:p>
    <w:p w:rsidR="003D551E" w:rsidRPr="006F71A7" w:rsidRDefault="003D551E" w:rsidP="003D551E">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xml:space="preserve">Khách du lịch nước ngoài lái xe đăng ký nước ngoài vào Việt Nam, có GPLX guốc gia còn hạn sử dụng. </w:t>
      </w:r>
    </w:p>
    <w:p w:rsidR="003D551E" w:rsidRPr="006F71A7" w:rsidRDefault="003D551E" w:rsidP="003D551E">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6.11 Căn cứ pháp lý của thủ tục hành chính:</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12/2017/TT-BGTVT ngày 15/4/2017 của Bộ GTVT Quy định về đào tạo, sát hạch, cấp giấy phép lái xe cơ giới đường bộ. </w:t>
      </w:r>
    </w:p>
    <w:p w:rsidR="003D551E" w:rsidRPr="006F71A7" w:rsidRDefault="003D551E" w:rsidP="003D551E">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3D551E" w:rsidRPr="006F71A7" w:rsidRDefault="003D551E" w:rsidP="003D551E">
      <w:pPr>
        <w:jc w:val="center"/>
        <w:rPr>
          <w:rFonts w:eastAsia="Batang"/>
          <w:b/>
          <w:sz w:val="26"/>
          <w:szCs w:val="26"/>
          <w:lang w:val="nl-NL" w:eastAsia="ko-KR"/>
        </w:rPr>
      </w:pPr>
    </w:p>
    <w:p w:rsidR="00087ECF" w:rsidRDefault="003D551E" w:rsidP="003D551E">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E"/>
    <w:rsid w:val="00087ECF"/>
    <w:rsid w:val="000F12BD"/>
    <w:rsid w:val="003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B9D89-7023-4900-9FDC-01BE3B6E75BE}"/>
</file>

<file path=customXml/itemProps2.xml><?xml version="1.0" encoding="utf-8"?>
<ds:datastoreItem xmlns:ds="http://schemas.openxmlformats.org/officeDocument/2006/customXml" ds:itemID="{0ABB5BD5-24EE-4C46-BE49-E63101D9DD72}"/>
</file>

<file path=customXml/itemProps3.xml><?xml version="1.0" encoding="utf-8"?>
<ds:datastoreItem xmlns:ds="http://schemas.openxmlformats.org/officeDocument/2006/customXml" ds:itemID="{770B272F-0DEB-44EC-B131-CA9131DD45FB}"/>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2017-09-16T12:29:00Z</dcterms:created>
  <dcterms:modified xsi:type="dcterms:W3CDTF">2017-09-16T12:30:00Z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