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0C21" w14:textId="77777777" w:rsidR="00E9672E" w:rsidRDefault="00035D68">
      <w:pPr>
        <w:spacing w:after="300" w:line="276" w:lineRule="auto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Chi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chính</w:t>
      </w:r>
      <w:proofErr w:type="spellEnd"/>
    </w:p>
    <w:p w14:paraId="145E341E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1.009448.000.00.00.H25</w:t>
      </w:r>
    </w:p>
    <w:p w14:paraId="7D022C7A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>1362/QĐ-UBND</w:t>
      </w:r>
    </w:p>
    <w:p w14:paraId="57712C65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</w:p>
    <w:p w14:paraId="2BC10412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Cấp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Tỉnh</w:t>
      </w:r>
      <w:proofErr w:type="spellEnd"/>
    </w:p>
    <w:p w14:paraId="26C5F72A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Loại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thủ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tục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r>
        <w:rPr>
          <w:rFonts w:ascii="Times New Roman" w:eastAsia="Times New Roman" w:hAnsi="Times New Roman" w:cs="Times New Roman"/>
          <w:sz w:val="26"/>
        </w:rPr>
        <w:t xml:space="preserve">TTHC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chi </w:t>
      </w:r>
      <w:proofErr w:type="spellStart"/>
      <w:r>
        <w:rPr>
          <w:rFonts w:ascii="Times New Roman" w:eastAsia="Times New Roman" w:hAnsi="Times New Roman" w:cs="Times New Roman"/>
          <w:sz w:val="26"/>
        </w:rPr>
        <w:t>tiết</w:t>
      </w:r>
      <w:proofErr w:type="spellEnd"/>
    </w:p>
    <w:p w14:paraId="13A7CAD2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Lĩnh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vực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</w:p>
    <w:p w14:paraId="271C957C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Trình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tự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0E9F7C8F" w14:textId="77777777" w:rsidR="00E9672E" w:rsidRDefault="00035D68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177A2A81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đến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- 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Nam: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</w:t>
      </w:r>
      <w:r>
        <w:rPr>
          <w:rFonts w:ascii="Times New Roman" w:eastAsia="Times New Roman" w:hAnsi="Times New Roman" w:cs="Times New Roman"/>
          <w:sz w:val="26"/>
        </w:rPr>
        <w:t>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vừa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quốc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gia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vừa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-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chuyên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dùng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nối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với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và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trường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</w:rPr>
        <w:t>Bộ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</w:p>
    <w:p w14:paraId="44BD6550" w14:textId="77777777" w:rsidR="00E9672E" w:rsidRDefault="00035D68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TTHC:</w:t>
      </w:r>
    </w:p>
    <w:p w14:paraId="30E48EB9" w14:textId="5F28052E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6"/>
        </w:rPr>
        <w:t>Trong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hạn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02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làm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kể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từ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ngày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ra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gửi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chủ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4B440ED2" w14:textId="77777777" w:rsidR="00E9672E" w:rsidRDefault="00035D68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Cách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thức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5"/>
        <w:gridCol w:w="1386"/>
        <w:gridCol w:w="2127"/>
        <w:gridCol w:w="4533"/>
      </w:tblGrid>
      <w:tr w:rsidR="00E9672E" w14:paraId="1F68C883" w14:textId="77777777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14:paraId="0CF9704C" w14:textId="77777777" w:rsidR="00E9672E" w:rsidRDefault="00E9672E"/>
          <w:p w14:paraId="5855DD90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nộp</w:t>
            </w:r>
            <w:proofErr w:type="spellEnd"/>
          </w:p>
        </w:tc>
        <w:tc>
          <w:tcPr>
            <w:tcW w:w="2000" w:type="dxa"/>
          </w:tcPr>
          <w:p w14:paraId="7121C1DD" w14:textId="77777777" w:rsidR="00E9672E" w:rsidRDefault="00E9672E"/>
          <w:p w14:paraId="37173259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quyết</w:t>
            </w:r>
            <w:proofErr w:type="spellEnd"/>
          </w:p>
        </w:tc>
        <w:tc>
          <w:tcPr>
            <w:tcW w:w="3500" w:type="dxa"/>
          </w:tcPr>
          <w:p w14:paraId="0FF34BF0" w14:textId="77777777" w:rsidR="00E9672E" w:rsidRDefault="00E9672E"/>
          <w:p w14:paraId="03B4F43B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phí</w:t>
            </w:r>
            <w:proofErr w:type="spellEnd"/>
          </w:p>
        </w:tc>
        <w:tc>
          <w:tcPr>
            <w:tcW w:w="3000" w:type="dxa"/>
          </w:tcPr>
          <w:p w14:paraId="500A3E32" w14:textId="77777777" w:rsidR="00E9672E" w:rsidRDefault="00E9672E"/>
          <w:p w14:paraId="3400D7EF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tả</w:t>
            </w:r>
            <w:proofErr w:type="spellEnd"/>
          </w:p>
        </w:tc>
      </w:tr>
      <w:tr w:rsidR="00E9672E" w14:paraId="16F46909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1E11785" w14:textId="77777777" w:rsidR="00E9672E" w:rsidRDefault="00E9672E"/>
          <w:p w14:paraId="034FF933" w14:textId="77777777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tiếp</w:t>
            </w:r>
            <w:proofErr w:type="spellEnd"/>
          </w:p>
        </w:tc>
        <w:tc>
          <w:tcPr>
            <w:tcW w:w="0" w:type="auto"/>
          </w:tcPr>
          <w:p w14:paraId="2E17CFA1" w14:textId="77777777" w:rsidR="00E9672E" w:rsidRDefault="00E9672E"/>
          <w:p w14:paraId="62850C82" w14:textId="6D4E48BD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253DD0D6" w14:textId="77777777" w:rsidR="00E9672E" w:rsidRDefault="00E9672E"/>
          <w:p w14:paraId="4F817403" w14:textId="77777777" w:rsidR="00E9672E" w:rsidRDefault="00E9672E">
            <w:pPr>
              <w:spacing w:after="0" w:line="276" w:lineRule="auto"/>
            </w:pPr>
          </w:p>
        </w:tc>
        <w:tc>
          <w:tcPr>
            <w:tcW w:w="0" w:type="auto"/>
          </w:tcPr>
          <w:p w14:paraId="344C81DD" w14:textId="77777777" w:rsidR="00E9672E" w:rsidRDefault="00E9672E"/>
          <w:p w14:paraId="761ECEE7" w14:textId="26C10EBE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E9672E" w14:paraId="614D1F3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96E2E26" w14:textId="77777777" w:rsidR="00E9672E" w:rsidRDefault="00E9672E"/>
          <w:p w14:paraId="52ED4444" w14:textId="77777777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tuyến</w:t>
            </w:r>
            <w:proofErr w:type="spellEnd"/>
          </w:p>
        </w:tc>
        <w:tc>
          <w:tcPr>
            <w:tcW w:w="0" w:type="auto"/>
          </w:tcPr>
          <w:p w14:paraId="7360C416" w14:textId="77777777" w:rsidR="00E9672E" w:rsidRDefault="00E9672E"/>
          <w:p w14:paraId="624F6299" w14:textId="6EE77A08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1A8662EC" w14:textId="77777777" w:rsidR="00E9672E" w:rsidRDefault="00E9672E"/>
          <w:p w14:paraId="308DBB52" w14:textId="77777777" w:rsidR="00E9672E" w:rsidRDefault="00E9672E">
            <w:pPr>
              <w:spacing w:after="0" w:line="276" w:lineRule="auto"/>
            </w:pPr>
          </w:p>
        </w:tc>
        <w:tc>
          <w:tcPr>
            <w:tcW w:w="0" w:type="auto"/>
          </w:tcPr>
          <w:p w14:paraId="48580C7C" w14:textId="77777777" w:rsidR="00E9672E" w:rsidRDefault="00E9672E"/>
          <w:p w14:paraId="74E3C6C3" w14:textId="023E1859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E9672E" w14:paraId="6FC3C16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6B4B031" w14:textId="77777777" w:rsidR="00E9672E" w:rsidRDefault="00E9672E"/>
          <w:p w14:paraId="3CD82EC1" w14:textId="77777777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Dịch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vụ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bưu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</w:p>
        </w:tc>
        <w:tc>
          <w:tcPr>
            <w:tcW w:w="0" w:type="auto"/>
          </w:tcPr>
          <w:p w14:paraId="4C866B9E" w14:textId="77777777" w:rsidR="00E9672E" w:rsidRDefault="00E9672E"/>
          <w:p w14:paraId="5BDB6D81" w14:textId="052A0823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</w:p>
        </w:tc>
        <w:tc>
          <w:tcPr>
            <w:tcW w:w="0" w:type="auto"/>
          </w:tcPr>
          <w:p w14:paraId="0C04D74A" w14:textId="77777777" w:rsidR="00E9672E" w:rsidRDefault="00E9672E"/>
          <w:p w14:paraId="30C3FB2A" w14:textId="77777777" w:rsidR="00E9672E" w:rsidRDefault="00E9672E">
            <w:pPr>
              <w:spacing w:after="0" w:line="276" w:lineRule="auto"/>
            </w:pPr>
          </w:p>
        </w:tc>
        <w:tc>
          <w:tcPr>
            <w:tcW w:w="0" w:type="auto"/>
          </w:tcPr>
          <w:p w14:paraId="69874675" w14:textId="77777777" w:rsidR="00E9672E" w:rsidRDefault="00E9672E"/>
          <w:p w14:paraId="05A6EC4C" w14:textId="5538FF4F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thời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02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làm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việc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</w:tbl>
    <w:p w14:paraId="43DF632F" w14:textId="77777777" w:rsidR="00E9672E" w:rsidRDefault="00035D68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phần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hồ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sơ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p w14:paraId="6BECE919" w14:textId="77777777" w:rsidR="00E9672E" w:rsidRDefault="00035D68">
      <w:pPr>
        <w:shd w:val="clear" w:color="auto" w:fill="F2F6F9"/>
        <w:spacing w:before="120" w:after="0" w:line="276" w:lineRule="auto"/>
        <w:jc w:val="both"/>
      </w:pPr>
      <w:r>
        <w:rPr>
          <w:rFonts w:ascii="Times New Roman" w:eastAsia="Times New Roman" w:hAnsi="Times New Roman" w:cs="Times New Roman"/>
          <w:b/>
          <w:sz w:val="26"/>
        </w:rPr>
        <w:t xml:space="preserve">Bao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gồm</w:t>
      </w:r>
      <w:proofErr w:type="spellEnd"/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76"/>
        <w:gridCol w:w="1076"/>
        <w:gridCol w:w="1039"/>
      </w:tblGrid>
      <w:tr w:rsidR="00E9672E" w14:paraId="49FC8108" w14:textId="77777777">
        <w:tblPrEx>
          <w:tblCellMar>
            <w:top w:w="0" w:type="dxa"/>
            <w:bottom w:w="0" w:type="dxa"/>
          </w:tblCellMar>
        </w:tblPrEx>
        <w:tc>
          <w:tcPr>
            <w:tcW w:w="6000" w:type="dxa"/>
          </w:tcPr>
          <w:p w14:paraId="7AB75AEA" w14:textId="77777777" w:rsidR="00E9672E" w:rsidRDefault="00E9672E"/>
          <w:p w14:paraId="6727C681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</w:p>
        </w:tc>
        <w:tc>
          <w:tcPr>
            <w:tcW w:w="2000" w:type="dxa"/>
          </w:tcPr>
          <w:p w14:paraId="7BF73AAC" w14:textId="77777777" w:rsidR="00E9672E" w:rsidRDefault="00E9672E"/>
          <w:p w14:paraId="5692C355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tờ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khai</w:t>
            </w:r>
            <w:proofErr w:type="spellEnd"/>
          </w:p>
        </w:tc>
        <w:tc>
          <w:tcPr>
            <w:tcW w:w="2000" w:type="dxa"/>
          </w:tcPr>
          <w:p w14:paraId="575C6E9E" w14:textId="77777777" w:rsidR="00E9672E" w:rsidRDefault="00E9672E"/>
          <w:p w14:paraId="100C7BF8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lượng</w:t>
            </w:r>
            <w:proofErr w:type="spellEnd"/>
          </w:p>
        </w:tc>
      </w:tr>
      <w:tr w:rsidR="00E9672E" w14:paraId="653B949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6EEE2A0" w14:textId="77777777" w:rsidR="00E9672E" w:rsidRDefault="00E9672E"/>
          <w:p w14:paraId="45790258" w14:textId="77777777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Đơn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thỏa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neo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mẫu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4E5BCB4D" w14:textId="77777777" w:rsidR="00E9672E" w:rsidRDefault="00E9672E"/>
          <w:p w14:paraId="329320F1" w14:textId="77777777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9.docx</w:t>
            </w:r>
          </w:p>
        </w:tc>
        <w:tc>
          <w:tcPr>
            <w:tcW w:w="0" w:type="auto"/>
          </w:tcPr>
          <w:p w14:paraId="51637A77" w14:textId="77777777" w:rsidR="00E9672E" w:rsidRDefault="00E9672E"/>
          <w:p w14:paraId="705E1AEB" w14:textId="77777777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E9672E" w14:paraId="6F811F4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9C0625C" w14:textId="77777777" w:rsidR="00E9672E" w:rsidRDefault="00E9672E"/>
          <w:p w14:paraId="248A46C7" w14:textId="77777777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văn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thuận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trương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đầu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thẩm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quyền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;</w:t>
            </w:r>
          </w:p>
        </w:tc>
        <w:tc>
          <w:tcPr>
            <w:tcW w:w="0" w:type="auto"/>
          </w:tcPr>
          <w:p w14:paraId="67CA1496" w14:textId="77777777" w:rsidR="00E9672E" w:rsidRDefault="00E9672E"/>
        </w:tc>
        <w:tc>
          <w:tcPr>
            <w:tcW w:w="0" w:type="auto"/>
          </w:tcPr>
          <w:p w14:paraId="4E84A598" w14:textId="77777777" w:rsidR="00E9672E" w:rsidRDefault="00E9672E"/>
          <w:p w14:paraId="51D18FA9" w14:textId="77777777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  <w:tr w:rsidR="00E9672E" w14:paraId="4F5F039E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7991126" w14:textId="77777777" w:rsidR="00E9672E" w:rsidRDefault="00E9672E"/>
          <w:p w14:paraId="5633C77A" w14:textId="77777777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đồ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vực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kiến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neo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hiện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phạm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vi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khu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neo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đậu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đáy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trí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luồng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liền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kề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nếu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tọa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VN2000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hệ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nước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từ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1/500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đến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1/2.000.</w:t>
            </w:r>
          </w:p>
        </w:tc>
        <w:tc>
          <w:tcPr>
            <w:tcW w:w="0" w:type="auto"/>
          </w:tcPr>
          <w:p w14:paraId="1B788A02" w14:textId="77777777" w:rsidR="00E9672E" w:rsidRDefault="00E9672E"/>
        </w:tc>
        <w:tc>
          <w:tcPr>
            <w:tcW w:w="0" w:type="auto"/>
          </w:tcPr>
          <w:p w14:paraId="7A533DC6" w14:textId="77777777" w:rsidR="00E9672E" w:rsidRDefault="00E9672E"/>
          <w:p w14:paraId="6675C6F8" w14:textId="77777777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chính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1</w:t>
            </w:r>
            <w:r>
              <w:rPr>
                <w:rFonts w:ascii="Times New Roman" w:eastAsia="Times New Roman" w:hAnsi="Times New Roman" w:cs="Times New Roman"/>
                <w:sz w:val="26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Bản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sao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: 0</w:t>
            </w:r>
          </w:p>
        </w:tc>
      </w:tr>
    </w:tbl>
    <w:p w14:paraId="0B1A90FB" w14:textId="77777777" w:rsidR="00E9672E" w:rsidRDefault="00035D68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tượng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dân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Người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vốn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đầu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bao </w:t>
      </w:r>
      <w:proofErr w:type="spellStart"/>
      <w:r>
        <w:rPr>
          <w:rFonts w:ascii="Times New Roman" w:eastAsia="Times New Roman" w:hAnsi="Times New Roman" w:cs="Times New Roman"/>
          <w:sz w:val="26"/>
        </w:rPr>
        <w:t>gồm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doanh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nghiệp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HTX), </w:t>
      </w:r>
      <w:proofErr w:type="spellStart"/>
      <w:r>
        <w:rPr>
          <w:rFonts w:ascii="Times New Roman" w:eastAsia="Times New Roman" w:hAnsi="Times New Roman" w:cs="Times New Roman"/>
          <w:sz w:val="26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chức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nước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ngoài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tác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xã</w:t>
      </w:r>
      <w:proofErr w:type="spellEnd"/>
    </w:p>
    <w:p w14:paraId="153892BA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</w:t>
      </w:r>
      <w:r>
        <w:rPr>
          <w:rFonts w:ascii="Times New Roman" w:eastAsia="Times New Roman" w:hAnsi="Times New Roman" w:cs="Times New Roman"/>
          <w:sz w:val="26"/>
        </w:rPr>
        <w:t>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6"/>
        </w:rPr>
        <w:t>TP.Đà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Nẵng</w:t>
      </w:r>
      <w:proofErr w:type="spellEnd"/>
    </w:p>
    <w:p w14:paraId="36619D1F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thẩm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Nam,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59D586E7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chỉ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tiếp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HS: </w:t>
      </w:r>
      <w:proofErr w:type="spellStart"/>
      <w:r>
        <w:rPr>
          <w:rFonts w:ascii="Times New Roman" w:eastAsia="Times New Roman" w:hAnsi="Times New Roman" w:cs="Times New Roman"/>
          <w:sz w:val="26"/>
        </w:rPr>
        <w:t>Cục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Đường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thủy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địa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Việt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Nam; </w:t>
      </w:r>
      <w:proofErr w:type="spellStart"/>
      <w:r>
        <w:rPr>
          <w:rFonts w:ascii="Times New Roman" w:eastAsia="Times New Roman" w:hAnsi="Times New Roman" w:cs="Times New Roman"/>
          <w:sz w:val="26"/>
        </w:rPr>
        <w:t>Sở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Giao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tải</w:t>
      </w:r>
      <w:proofErr w:type="spellEnd"/>
    </w:p>
    <w:p w14:paraId="6FA5212F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được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ủy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quyền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2CF6FD0A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quan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phối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1A5630F1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Kết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quả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Văn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thiết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khu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neo </w:t>
      </w:r>
      <w:proofErr w:type="spellStart"/>
      <w:r>
        <w:rPr>
          <w:rFonts w:ascii="Times New Roman" w:eastAsia="Times New Roman" w:hAnsi="Times New Roman" w:cs="Times New Roman"/>
          <w:sz w:val="26"/>
        </w:rPr>
        <w:t>đậu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14:paraId="77A04BE3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Căn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cứ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pháp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lý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</w:p>
    <w:tbl>
      <w:tblPr>
        <w:tblW w:w="0" w:type="auto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9"/>
        <w:gridCol w:w="3288"/>
        <w:gridCol w:w="1409"/>
        <w:gridCol w:w="2755"/>
      </w:tblGrid>
      <w:tr w:rsidR="00E9672E" w14:paraId="7815BAF3" w14:textId="7777777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14:paraId="5B8C4876" w14:textId="77777777" w:rsidR="00E9672E" w:rsidRDefault="00E9672E"/>
          <w:p w14:paraId="2FC4C098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ký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hiệu</w:t>
            </w:r>
            <w:proofErr w:type="spellEnd"/>
          </w:p>
        </w:tc>
        <w:tc>
          <w:tcPr>
            <w:tcW w:w="3500" w:type="dxa"/>
          </w:tcPr>
          <w:p w14:paraId="2A1D4603" w14:textId="77777777" w:rsidR="00E9672E" w:rsidRDefault="00E9672E"/>
          <w:p w14:paraId="40139CCF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Trích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yếu</w:t>
            </w:r>
            <w:proofErr w:type="spellEnd"/>
          </w:p>
        </w:tc>
        <w:tc>
          <w:tcPr>
            <w:tcW w:w="1500" w:type="dxa"/>
          </w:tcPr>
          <w:p w14:paraId="4B73821F" w14:textId="77777777" w:rsidR="00E9672E" w:rsidRDefault="00E9672E"/>
          <w:p w14:paraId="2953BFB2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  <w:tc>
          <w:tcPr>
            <w:tcW w:w="3000" w:type="dxa"/>
          </w:tcPr>
          <w:p w14:paraId="0CEDE0BD" w14:textId="77777777" w:rsidR="00E9672E" w:rsidRDefault="00E9672E"/>
          <w:p w14:paraId="1CD37AAB" w14:textId="77777777" w:rsidR="00E9672E" w:rsidRDefault="00035D68">
            <w:pPr>
              <w:spacing w:after="0" w:line="276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Cơ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quan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ban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hành</w:t>
            </w:r>
            <w:proofErr w:type="spellEnd"/>
          </w:p>
        </w:tc>
      </w:tr>
      <w:tr w:rsidR="00E9672E" w14:paraId="3A11797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4B1EB65" w14:textId="77777777" w:rsidR="00E9672E" w:rsidRDefault="00E9672E"/>
          <w:p w14:paraId="68A069EA" w14:textId="77777777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08/2021/NĐ-CP</w:t>
            </w:r>
          </w:p>
        </w:tc>
        <w:tc>
          <w:tcPr>
            <w:tcW w:w="0" w:type="auto"/>
          </w:tcPr>
          <w:p w14:paraId="6D0C2952" w14:textId="77777777" w:rsidR="00E9672E" w:rsidRDefault="00E9672E"/>
          <w:p w14:paraId="069A1D89" w14:textId="77777777" w:rsidR="00E9672E" w:rsidRDefault="00035D68">
            <w:pPr>
              <w:spacing w:after="0" w:line="276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Nghị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định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08/2021/NĐ-CP</w:t>
            </w:r>
          </w:p>
        </w:tc>
        <w:tc>
          <w:tcPr>
            <w:tcW w:w="0" w:type="auto"/>
          </w:tcPr>
          <w:p w14:paraId="616BD63A" w14:textId="77777777" w:rsidR="00E9672E" w:rsidRDefault="00E9672E"/>
          <w:p w14:paraId="01065786" w14:textId="77777777" w:rsidR="00E9672E" w:rsidRDefault="00035D68">
            <w:pPr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28-01-2021</w:t>
            </w:r>
          </w:p>
        </w:tc>
        <w:tc>
          <w:tcPr>
            <w:tcW w:w="0" w:type="auto"/>
          </w:tcPr>
          <w:p w14:paraId="6B586B18" w14:textId="77777777" w:rsidR="00E9672E" w:rsidRDefault="00E9672E"/>
        </w:tc>
      </w:tr>
    </w:tbl>
    <w:p w14:paraId="4B6ED33B" w14:textId="77777777" w:rsidR="00E9672E" w:rsidRDefault="00035D68">
      <w:pPr>
        <w:spacing w:before="240"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Yêu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cầu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điều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thực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hiện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75AA4CF5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lastRenderedPageBreak/>
        <w:t>Từ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khóa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p w14:paraId="21573AA2" w14:textId="77777777" w:rsidR="00E9672E" w:rsidRDefault="00035D68">
      <w:pPr>
        <w:spacing w:after="0" w:line="276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Mô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</w:rPr>
        <w:t>tả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có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thông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tin</w:t>
      </w:r>
    </w:p>
    <w:sectPr w:rsidR="00E9672E">
      <w:pgSz w:w="12240" w:h="15840"/>
      <w:pgMar w:top="1137" w:right="1137" w:bottom="113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2E"/>
    <w:rsid w:val="00035D68"/>
    <w:rsid w:val="00E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3638"/>
  <w15:docId w15:val="{7865BF54-71BF-4586-9759-48915CD1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2524DFA1-68FC-4BB4-8B9D-9B42CA21C0C9}"/>
</file>

<file path=customXml/itemProps2.xml><?xml version="1.0" encoding="utf-8"?>
<ds:datastoreItem xmlns:ds="http://schemas.openxmlformats.org/officeDocument/2006/customXml" ds:itemID="{2618A69A-A607-463B-887F-4DDBF0246CE4}"/>
</file>

<file path=customXml/itemProps3.xml><?xml version="1.0" encoding="utf-8"?>
<ds:datastoreItem xmlns:ds="http://schemas.openxmlformats.org/officeDocument/2006/customXml" ds:itemID="{F93A11B7-D835-441E-A717-6A7226100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keywords/>
  <dc:description/>
  <cp:lastModifiedBy>admin</cp:lastModifiedBy>
  <cp:revision>2</cp:revision>
  <dcterms:created xsi:type="dcterms:W3CDTF">2022-09-12T16:52:00Z</dcterms:created>
  <dcterms:modified xsi:type="dcterms:W3CDTF">2022-09-12T16:52:00Z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