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b/>
          <w:bCs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2</w:t>
      </w:r>
      <w:r>
        <w:rPr>
          <w:rFonts w:eastAsia="Batang"/>
          <w:b/>
          <w:sz w:val="26"/>
          <w:szCs w:val="26"/>
          <w:lang w:eastAsia="ko-KR"/>
        </w:rPr>
        <w:t>4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dùng</w:t>
      </w:r>
      <w:proofErr w:type="spellEnd"/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24</w:t>
      </w:r>
      <w:r w:rsidRPr="006F71A7">
        <w:rPr>
          <w:rFonts w:eastAsia="Batang"/>
          <w:b/>
          <w:sz w:val="26"/>
          <w:szCs w:val="26"/>
          <w:lang w:eastAsia="ko-KR"/>
        </w:rPr>
        <w:t xml:space="preserve">.1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1A7929" w:rsidRPr="006F71A7" w:rsidRDefault="001A7929" w:rsidP="001A7929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1A7929" w:rsidRPr="006F71A7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1A7929" w:rsidRPr="006F71A7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1A7929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1A7929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1A7929" w:rsidRPr="006F71A7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1A7929" w:rsidRDefault="001A7929" w:rsidP="001A7929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1A7929" w:rsidRPr="006F71A7" w:rsidRDefault="001A7929" w:rsidP="001A7929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 (nếu có nhu cầu). </w:t>
      </w:r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24</w:t>
      </w:r>
      <w:r w:rsidRPr="006F71A7">
        <w:rPr>
          <w:rFonts w:eastAsia="Batang"/>
          <w:b/>
          <w:sz w:val="26"/>
          <w:szCs w:val="26"/>
          <w:lang w:eastAsia="ko-KR"/>
        </w:rPr>
        <w:t xml:space="preserve">.3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1A7929" w:rsidRPr="006F71A7" w:rsidRDefault="001A7929" w:rsidP="001A7929">
      <w:pPr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>);</w:t>
      </w:r>
    </w:p>
    <w:p w:rsidR="001A7929" w:rsidRPr="006F71A7" w:rsidRDefault="001A7929" w:rsidP="001A7929">
      <w:pPr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24</w:t>
      </w:r>
      <w:r w:rsidRPr="006F71A7">
        <w:rPr>
          <w:rFonts w:eastAsia="Batang"/>
          <w:b/>
          <w:sz w:val="26"/>
          <w:szCs w:val="26"/>
          <w:lang w:eastAsia="ko-KR"/>
        </w:rPr>
        <w:t xml:space="preserve">.4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02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1A7929" w:rsidRPr="006F71A7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24</w:t>
      </w:r>
      <w:r w:rsidRPr="006F71A7">
        <w:rPr>
          <w:rFonts w:eastAsia="Batang"/>
          <w:b/>
          <w:sz w:val="26"/>
          <w:szCs w:val="26"/>
          <w:lang w:eastAsia="ko-KR"/>
        </w:rPr>
        <w:t xml:space="preserve">.5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1A7929" w:rsidRPr="006F71A7" w:rsidRDefault="001A7929" w:rsidP="001A7929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r>
        <w:rPr>
          <w:rFonts w:eastAsia="Batang"/>
          <w:b/>
          <w:sz w:val="26"/>
          <w:szCs w:val="26"/>
          <w:lang w:eastAsia="ko-KR"/>
        </w:rPr>
        <w:t>24</w:t>
      </w:r>
      <w:r w:rsidRPr="006F71A7">
        <w:rPr>
          <w:rFonts w:eastAsia="Batang"/>
          <w:b/>
          <w:sz w:val="26"/>
          <w:szCs w:val="26"/>
          <w:lang w:eastAsia="ko-KR"/>
        </w:rPr>
        <w:t>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1A7929" w:rsidRPr="006F71A7" w:rsidRDefault="001A7929" w:rsidP="001A7929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1A7929" w:rsidRPr="006F71A7" w:rsidRDefault="001A7929" w:rsidP="001A7929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1A7929" w:rsidRPr="006F71A7" w:rsidRDefault="001A7929" w:rsidP="001A7929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1A7929" w:rsidRPr="00D50904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D50904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Thu hồi đăng ký và biển số XMCD, xác nhận vào tờ khai.</w:t>
      </w:r>
    </w:p>
    <w:p w:rsidR="001A7929" w:rsidRPr="00D50904" w:rsidRDefault="001A7929" w:rsidP="001A7929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D50904">
        <w:rPr>
          <w:rFonts w:eastAsia="Batang"/>
          <w:b/>
          <w:sz w:val="26"/>
          <w:szCs w:val="26"/>
          <w:lang w:val="nl-NL" w:eastAsia="ko-KR"/>
        </w:rPr>
        <w:t>.8 Lệ phí</w:t>
      </w:r>
      <w:r w:rsidRPr="00D50904">
        <w:rPr>
          <w:rFonts w:eastAsia="Batang"/>
          <w:sz w:val="26"/>
          <w:szCs w:val="26"/>
          <w:lang w:val="nl-NL" w:eastAsia="ko-KR"/>
        </w:rPr>
        <w:t>: Không.</w:t>
      </w:r>
    </w:p>
    <w:p w:rsidR="001A7929" w:rsidRPr="00D50904" w:rsidRDefault="001A7929" w:rsidP="001A7929">
      <w:pPr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D50904">
        <w:rPr>
          <w:rFonts w:eastAsia="Batang"/>
          <w:b/>
          <w:sz w:val="26"/>
          <w:szCs w:val="26"/>
          <w:lang w:val="nl-NL" w:eastAsia="ko-KR"/>
        </w:rPr>
        <w:t>.9 Tên mẫu đơn, tờ khai:</w:t>
      </w:r>
      <w:r w:rsidRPr="00D50904">
        <w:rPr>
          <w:rFonts w:eastAsia="Batang"/>
          <w:sz w:val="26"/>
          <w:szCs w:val="26"/>
          <w:lang w:val="nl-NL" w:eastAsia="ko-KR"/>
        </w:rPr>
        <w:t xml:space="preserve"> Tờ khai xoá sổ đăng ký xe máy chuyên dùng theo mẫu của Thông tư 20/2010/TT-BGTVT ngày 30/7/2010 của Bộ GTVT(bản chính) .</w:t>
      </w:r>
    </w:p>
    <w:p w:rsidR="001A7929" w:rsidRPr="00D50904" w:rsidRDefault="001A7929" w:rsidP="001A7929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D50904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Cá nhân, tổ chức có hộ khẩu thường trú hoặc tạm trú tại tỉnh Hà Nam.</w:t>
      </w:r>
    </w:p>
    <w:p w:rsidR="001A7929" w:rsidRPr="00D50904" w:rsidRDefault="001A7929" w:rsidP="001A7929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24</w:t>
      </w:r>
      <w:r w:rsidRPr="00D50904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087ECF" w:rsidRDefault="001A7929" w:rsidP="001A7929">
      <w:r w:rsidRPr="00D50904">
        <w:rPr>
          <w:rFonts w:eastAsia="Batang"/>
          <w:sz w:val="26"/>
          <w:szCs w:val="26"/>
          <w:lang w:val="nl-NL" w:eastAsia="ko-KR"/>
        </w:rPr>
        <w:t>+ Thông tư số 20/2010/TT-BGTVT ngày 30/7/2010 của Bộ Quy định về cấp, đổi, thu hồi đăng ký, biển số xe máy chuyên dùng có tham gia giao thông đường bộ</w:t>
      </w:r>
      <w:r>
        <w:rPr>
          <w:rFonts w:eastAsia="Batang"/>
          <w:sz w:val="26"/>
          <w:szCs w:val="26"/>
          <w:lang w:val="nl-NL" w:eastAsia="ko-KR"/>
        </w:rPr>
        <w:t>.</w:t>
      </w:r>
      <w:r w:rsidRPr="006F71A7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9"/>
    <w:rsid w:val="00087ECF"/>
    <w:rsid w:val="000F12BD"/>
    <w:rsid w:val="001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399D-3D14-4641-A809-8D60B3A7BCA2}"/>
</file>

<file path=customXml/itemProps2.xml><?xml version="1.0" encoding="utf-8"?>
<ds:datastoreItem xmlns:ds="http://schemas.openxmlformats.org/officeDocument/2006/customXml" ds:itemID="{E4F15648-8BC6-4125-80C9-48B81CAB7AD5}"/>
</file>

<file path=customXml/itemProps3.xml><?xml version="1.0" encoding="utf-8"?>
<ds:datastoreItem xmlns:ds="http://schemas.openxmlformats.org/officeDocument/2006/customXml" ds:itemID="{203786BD-55D6-467B-9D0E-2E3E50889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2017-09-16T12:44:00Z</dcterms:created>
  <dcterms:modified xsi:type="dcterms:W3CDTF">2017-09-16T12:44:00Z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